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1AB69" w14:textId="77777777" w:rsidR="001B3D54" w:rsidRPr="00C51F29" w:rsidRDefault="001B3D54" w:rsidP="001B3D54">
      <w:pPr>
        <w:spacing w:after="0" w:line="240" w:lineRule="auto"/>
        <w:jc w:val="center"/>
        <w:rPr>
          <w:rFonts w:asciiTheme="majorHAnsi" w:hAnsiTheme="majorHAnsi" w:cstheme="majorHAnsi"/>
          <w:b/>
          <w:bCs/>
          <w:sz w:val="18"/>
          <w:szCs w:val="18"/>
        </w:rPr>
      </w:pPr>
      <w:r w:rsidRPr="00C51F29">
        <w:rPr>
          <w:rFonts w:asciiTheme="majorHAnsi" w:hAnsiTheme="majorHAnsi" w:cstheme="majorHAnsi"/>
          <w:b/>
          <w:bCs/>
          <w:sz w:val="18"/>
          <w:szCs w:val="18"/>
        </w:rPr>
        <w:t>FORMULARZ WYKONYWANIA PRAWA GŁOSU PRZEZ PEŁNOMOCNIKA</w:t>
      </w:r>
    </w:p>
    <w:p w14:paraId="51C993F0" w14:textId="77777777" w:rsidR="001B3D54" w:rsidRPr="00C51F29" w:rsidRDefault="001B3D54" w:rsidP="001B3D54">
      <w:pPr>
        <w:spacing w:after="0" w:line="240" w:lineRule="auto"/>
        <w:jc w:val="center"/>
        <w:rPr>
          <w:rFonts w:asciiTheme="majorHAnsi" w:hAnsiTheme="majorHAnsi" w:cstheme="majorHAnsi"/>
          <w:b/>
          <w:bCs/>
          <w:sz w:val="18"/>
          <w:szCs w:val="18"/>
        </w:rPr>
      </w:pPr>
      <w:r w:rsidRPr="00C51F29">
        <w:rPr>
          <w:rFonts w:asciiTheme="majorHAnsi" w:hAnsiTheme="majorHAnsi" w:cstheme="majorHAnsi"/>
          <w:b/>
          <w:bCs/>
          <w:sz w:val="18"/>
          <w:szCs w:val="18"/>
        </w:rPr>
        <w:t>(ten formularz nie zastępuje dokumentu pełnomocnictwa)</w:t>
      </w:r>
    </w:p>
    <w:p w14:paraId="3D3D5240" w14:textId="77777777" w:rsidR="001B3D54" w:rsidRPr="00C51F29" w:rsidRDefault="001B3D54" w:rsidP="001B3D54">
      <w:pPr>
        <w:spacing w:after="0" w:line="254" w:lineRule="auto"/>
        <w:jc w:val="right"/>
        <w:rPr>
          <w:rFonts w:asciiTheme="majorHAnsi" w:hAnsiTheme="majorHAnsi" w:cstheme="majorHAnsi"/>
          <w:b/>
          <w:bCs/>
          <w:sz w:val="18"/>
          <w:szCs w:val="18"/>
        </w:rPr>
      </w:pPr>
    </w:p>
    <w:p w14:paraId="748948F3" w14:textId="77777777" w:rsidR="001B3D54" w:rsidRPr="00C51F29" w:rsidRDefault="001B3D54" w:rsidP="001B3D54">
      <w:pPr>
        <w:spacing w:after="0" w:line="254" w:lineRule="auto"/>
        <w:jc w:val="right"/>
        <w:rPr>
          <w:rFonts w:asciiTheme="majorHAnsi" w:hAnsiTheme="majorHAnsi" w:cstheme="majorHAnsi"/>
          <w:b/>
          <w:bCs/>
          <w:sz w:val="18"/>
          <w:szCs w:val="18"/>
        </w:rPr>
      </w:pPr>
      <w:r w:rsidRPr="00C51F29">
        <w:rPr>
          <w:rFonts w:asciiTheme="majorHAnsi" w:hAnsiTheme="majorHAnsi" w:cstheme="majorHAnsi"/>
          <w:b/>
          <w:bCs/>
          <w:sz w:val="18"/>
          <w:szCs w:val="18"/>
        </w:rPr>
        <w:t>_____________________</w:t>
      </w:r>
    </w:p>
    <w:p w14:paraId="51C07B1A" w14:textId="77777777" w:rsidR="001B3D54" w:rsidRPr="00C51F29" w:rsidRDefault="001B3D54" w:rsidP="001B3D54">
      <w:pPr>
        <w:spacing w:after="0" w:line="254" w:lineRule="auto"/>
        <w:jc w:val="right"/>
        <w:rPr>
          <w:rFonts w:asciiTheme="majorHAnsi" w:hAnsiTheme="majorHAnsi" w:cstheme="majorHAnsi"/>
          <w:sz w:val="18"/>
          <w:szCs w:val="18"/>
        </w:rPr>
      </w:pPr>
      <w:r w:rsidRPr="00C51F29">
        <w:rPr>
          <w:rFonts w:asciiTheme="majorHAnsi" w:hAnsiTheme="majorHAnsi" w:cstheme="majorHAnsi"/>
          <w:sz w:val="18"/>
          <w:szCs w:val="18"/>
        </w:rPr>
        <w:t>(miejscowość, data)</w:t>
      </w:r>
    </w:p>
    <w:p w14:paraId="603F72C7" w14:textId="77777777" w:rsidR="001B3D54" w:rsidRPr="00C51F29" w:rsidRDefault="001B3D54" w:rsidP="001B3D54">
      <w:pPr>
        <w:spacing w:after="0"/>
        <w:rPr>
          <w:rFonts w:asciiTheme="majorHAnsi" w:hAnsiTheme="majorHAnsi" w:cstheme="majorHAnsi"/>
          <w:b/>
          <w:bCs/>
          <w:sz w:val="18"/>
          <w:szCs w:val="18"/>
        </w:rPr>
      </w:pPr>
      <w:r w:rsidRPr="00C51F29">
        <w:rPr>
          <w:rFonts w:asciiTheme="majorHAnsi" w:hAnsiTheme="majorHAnsi" w:cstheme="majorHAnsi"/>
          <w:sz w:val="18"/>
          <w:szCs w:val="18"/>
        </w:rPr>
        <w:t xml:space="preserve">Nazwa akcjonariusza / Imię i nazwisko akcjonariusza: </w:t>
      </w:r>
    </w:p>
    <w:p w14:paraId="7D23306E" w14:textId="77777777" w:rsidR="001B3D54" w:rsidRPr="00C51F29" w:rsidRDefault="001B3D54" w:rsidP="001B3D54">
      <w:pPr>
        <w:spacing w:after="0"/>
        <w:rPr>
          <w:rFonts w:asciiTheme="majorHAnsi" w:hAnsiTheme="majorHAnsi" w:cstheme="majorHAnsi"/>
          <w:b/>
          <w:bCs/>
          <w:sz w:val="18"/>
          <w:szCs w:val="18"/>
        </w:rPr>
      </w:pPr>
      <w:r w:rsidRPr="00C51F29">
        <w:rPr>
          <w:rFonts w:asciiTheme="majorHAnsi" w:hAnsiTheme="majorHAnsi" w:cstheme="majorHAnsi"/>
          <w:sz w:val="18"/>
          <w:szCs w:val="18"/>
        </w:rPr>
        <w:t>Adres akcjonariusza:</w:t>
      </w:r>
    </w:p>
    <w:p w14:paraId="4A05DAA1"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Numer KRS / NIP / Inny numer rejestrowy akcjonariusza *:</w:t>
      </w:r>
    </w:p>
    <w:p w14:paraId="5DA13744"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Numer PESEL akcjonariusza*:</w:t>
      </w:r>
    </w:p>
    <w:p w14:paraId="0CD2114F"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Adres e-mail kontaktowy: </w:t>
      </w:r>
    </w:p>
    <w:p w14:paraId="71EEC2DC"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Numer telefonu kontaktowego: </w:t>
      </w:r>
    </w:p>
    <w:p w14:paraId="6FB676D8"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w:t>
      </w:r>
      <w:r w:rsidRPr="00C51F29">
        <w:rPr>
          <w:rFonts w:asciiTheme="majorHAnsi" w:hAnsiTheme="majorHAnsi" w:cstheme="majorHAnsi"/>
          <w:b/>
          <w:bCs/>
          <w:sz w:val="18"/>
          <w:szCs w:val="18"/>
        </w:rPr>
        <w:t>Akcjonariusz</w:t>
      </w:r>
      <w:r w:rsidRPr="00C51F29">
        <w:rPr>
          <w:rFonts w:asciiTheme="majorHAnsi" w:hAnsiTheme="majorHAnsi" w:cstheme="majorHAnsi"/>
          <w:sz w:val="18"/>
          <w:szCs w:val="18"/>
        </w:rPr>
        <w:t>”)</w:t>
      </w:r>
    </w:p>
    <w:p w14:paraId="45FA1F4D" w14:textId="77777777" w:rsidR="001B3D54" w:rsidRPr="00C51F29" w:rsidRDefault="001B3D54" w:rsidP="001B3D54">
      <w:pPr>
        <w:spacing w:after="0" w:line="360" w:lineRule="auto"/>
        <w:rPr>
          <w:rFonts w:asciiTheme="majorHAnsi" w:hAnsiTheme="majorHAnsi" w:cstheme="majorHAnsi"/>
          <w:sz w:val="18"/>
          <w:szCs w:val="18"/>
        </w:rPr>
      </w:pPr>
      <w:r w:rsidRPr="00C51F29">
        <w:rPr>
          <w:rFonts w:asciiTheme="majorHAnsi" w:hAnsiTheme="majorHAnsi" w:cstheme="majorHAnsi"/>
          <w:sz w:val="18"/>
          <w:szCs w:val="18"/>
        </w:rPr>
        <w:t xml:space="preserve"> </w:t>
      </w:r>
    </w:p>
    <w:p w14:paraId="278F96EE"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Nazwa pełnomocnika / Imię i nazwisko pełnomocnika*: </w:t>
      </w:r>
    </w:p>
    <w:p w14:paraId="4A9DE6A7" w14:textId="77777777" w:rsidR="001B3D54" w:rsidRPr="00C51F29" w:rsidRDefault="001B3D54" w:rsidP="001B3D54">
      <w:pPr>
        <w:spacing w:after="0"/>
        <w:rPr>
          <w:rFonts w:asciiTheme="majorHAnsi" w:hAnsiTheme="majorHAnsi" w:cstheme="majorHAnsi"/>
          <w:b/>
          <w:bCs/>
          <w:sz w:val="18"/>
          <w:szCs w:val="18"/>
        </w:rPr>
      </w:pPr>
      <w:r w:rsidRPr="00C51F29">
        <w:rPr>
          <w:rFonts w:asciiTheme="majorHAnsi" w:hAnsiTheme="majorHAnsi" w:cstheme="majorHAnsi"/>
          <w:sz w:val="18"/>
          <w:szCs w:val="18"/>
        </w:rPr>
        <w:t>Adres pełnomocnika:</w:t>
      </w:r>
    </w:p>
    <w:p w14:paraId="26A6655E"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Numer KRS / NIP / Inny numer rejestrowy pełnomocnika *:</w:t>
      </w:r>
    </w:p>
    <w:p w14:paraId="588B92AD"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Numer PESEL pełnomocnika*:</w:t>
      </w:r>
    </w:p>
    <w:p w14:paraId="7D86D448"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Numer dokumentu tożsamości pełnomocnika: </w:t>
      </w:r>
    </w:p>
    <w:p w14:paraId="388ABB67"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Adres e-mail kontaktowy: </w:t>
      </w:r>
    </w:p>
    <w:p w14:paraId="3D4431F7"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 xml:space="preserve">Numer telefonu kontaktowego: </w:t>
      </w:r>
    </w:p>
    <w:p w14:paraId="7C3D9882" w14:textId="77777777" w:rsidR="001B3D54" w:rsidRPr="00C51F29" w:rsidRDefault="001B3D54" w:rsidP="001B3D54">
      <w:pPr>
        <w:spacing w:after="0"/>
        <w:rPr>
          <w:rFonts w:asciiTheme="majorHAnsi" w:hAnsiTheme="majorHAnsi" w:cstheme="majorHAnsi"/>
          <w:sz w:val="18"/>
          <w:szCs w:val="18"/>
        </w:rPr>
      </w:pPr>
      <w:r w:rsidRPr="00C51F29">
        <w:rPr>
          <w:rFonts w:asciiTheme="majorHAnsi" w:hAnsiTheme="majorHAnsi" w:cstheme="majorHAnsi"/>
          <w:sz w:val="18"/>
          <w:szCs w:val="18"/>
        </w:rPr>
        <w:t>(„</w:t>
      </w:r>
      <w:r w:rsidRPr="00C51F29">
        <w:rPr>
          <w:rFonts w:asciiTheme="majorHAnsi" w:hAnsiTheme="majorHAnsi" w:cstheme="majorHAnsi"/>
          <w:b/>
          <w:bCs/>
          <w:sz w:val="18"/>
          <w:szCs w:val="18"/>
        </w:rPr>
        <w:t>Pełnomocnik”</w:t>
      </w:r>
      <w:r w:rsidRPr="00C51F29">
        <w:rPr>
          <w:rFonts w:asciiTheme="majorHAnsi" w:hAnsiTheme="majorHAnsi" w:cstheme="majorHAnsi"/>
          <w:sz w:val="18"/>
          <w:szCs w:val="18"/>
        </w:rPr>
        <w:t>)</w:t>
      </w:r>
    </w:p>
    <w:p w14:paraId="6210B3E0" w14:textId="77777777" w:rsidR="001B3D54" w:rsidRPr="00C51F29" w:rsidRDefault="001B3D54" w:rsidP="001B3D54">
      <w:pPr>
        <w:tabs>
          <w:tab w:val="center" w:pos="4816"/>
        </w:tabs>
        <w:spacing w:after="0"/>
        <w:jc w:val="both"/>
        <w:rPr>
          <w:rFonts w:asciiTheme="majorHAnsi" w:hAnsiTheme="majorHAnsi" w:cstheme="majorHAnsi"/>
          <w:b/>
          <w:bCs/>
          <w:sz w:val="18"/>
          <w:szCs w:val="18"/>
        </w:rPr>
      </w:pPr>
    </w:p>
    <w:p w14:paraId="35D193EF" w14:textId="77777777" w:rsidR="001B3D54" w:rsidRPr="00C51F29" w:rsidRDefault="001B3D54" w:rsidP="001B3D54">
      <w:pPr>
        <w:tabs>
          <w:tab w:val="center" w:pos="4816"/>
        </w:tabs>
        <w:spacing w:after="0"/>
        <w:jc w:val="both"/>
        <w:rPr>
          <w:rFonts w:asciiTheme="majorHAnsi" w:hAnsiTheme="majorHAnsi" w:cstheme="majorHAnsi"/>
          <w:b/>
          <w:bCs/>
          <w:sz w:val="18"/>
          <w:szCs w:val="18"/>
        </w:rPr>
      </w:pPr>
      <w:r w:rsidRPr="00C51F29">
        <w:rPr>
          <w:rFonts w:asciiTheme="majorHAnsi" w:hAnsiTheme="majorHAnsi" w:cstheme="majorHAnsi"/>
          <w:b/>
          <w:bCs/>
          <w:sz w:val="18"/>
          <w:szCs w:val="18"/>
        </w:rPr>
        <w:t>Formularz głosowania przez Pełnomocnika umożliwia akcjonariuszowi zamieszczenie instrukcji co do sposobu głosowania na walnym zgromadzeniu. Spółka nie weryfikuje czy Pełnomocnik wykonuje prawo głosu zgodnie z instrukcją udzieloną przez Akcjonariusza.</w:t>
      </w:r>
    </w:p>
    <w:p w14:paraId="4424FF75" w14:textId="77777777" w:rsidR="001B3D54" w:rsidRPr="00C51F29" w:rsidRDefault="001B3D54" w:rsidP="001B3D54">
      <w:pPr>
        <w:autoSpaceDE w:val="0"/>
        <w:autoSpaceDN w:val="0"/>
        <w:adjustRightInd w:val="0"/>
        <w:spacing w:after="0" w:line="240" w:lineRule="auto"/>
        <w:jc w:val="center"/>
        <w:rPr>
          <w:rFonts w:asciiTheme="majorHAnsi" w:hAnsiTheme="majorHAnsi" w:cstheme="majorHAnsi"/>
          <w:color w:val="000000"/>
          <w:sz w:val="18"/>
          <w:szCs w:val="18"/>
        </w:rPr>
      </w:pPr>
      <w:r w:rsidRPr="00C51F29">
        <w:rPr>
          <w:rFonts w:asciiTheme="majorHAnsi" w:hAnsiTheme="majorHAnsi" w:cstheme="majorHAnsi"/>
          <w:b/>
          <w:bCs/>
          <w:color w:val="000000"/>
          <w:sz w:val="18"/>
          <w:szCs w:val="18"/>
        </w:rPr>
        <w:t>INSTRUKCJA DOTYCZĄCA WYKONYWANIA PRAWA GŁOSU PRZEZ PEŁNOMOCNIKA</w:t>
      </w:r>
    </w:p>
    <w:p w14:paraId="5A68F7DB" w14:textId="77777777" w:rsidR="001B3D54" w:rsidRPr="00C51F29" w:rsidRDefault="001B3D54" w:rsidP="001B3D54">
      <w:pPr>
        <w:autoSpaceDE w:val="0"/>
        <w:autoSpaceDN w:val="0"/>
        <w:adjustRightInd w:val="0"/>
        <w:spacing w:after="0" w:line="240" w:lineRule="auto"/>
        <w:jc w:val="center"/>
        <w:rPr>
          <w:rFonts w:asciiTheme="majorHAnsi" w:hAnsiTheme="majorHAnsi" w:cstheme="majorHAnsi"/>
          <w:color w:val="000000"/>
          <w:sz w:val="18"/>
          <w:szCs w:val="18"/>
        </w:rPr>
      </w:pPr>
      <w:r w:rsidRPr="00C51F29">
        <w:rPr>
          <w:rFonts w:asciiTheme="majorHAnsi" w:hAnsiTheme="majorHAnsi" w:cstheme="majorHAnsi"/>
          <w:b/>
          <w:bCs/>
          <w:color w:val="000000"/>
          <w:sz w:val="18"/>
          <w:szCs w:val="18"/>
        </w:rPr>
        <w:t>na Zwyczajnym Walnym Zgromadzeniu</w:t>
      </w:r>
    </w:p>
    <w:p w14:paraId="07F969EC" w14:textId="377C1B51" w:rsidR="001B3D54" w:rsidRPr="00C51F29" w:rsidRDefault="001B3D54" w:rsidP="001B3D54">
      <w:pPr>
        <w:autoSpaceDE w:val="0"/>
        <w:autoSpaceDN w:val="0"/>
        <w:adjustRightInd w:val="0"/>
        <w:spacing w:after="0" w:line="240" w:lineRule="auto"/>
        <w:jc w:val="center"/>
        <w:rPr>
          <w:rFonts w:asciiTheme="majorHAnsi" w:hAnsiTheme="majorHAnsi" w:cstheme="majorHAnsi"/>
          <w:color w:val="000000"/>
          <w:sz w:val="18"/>
          <w:szCs w:val="18"/>
        </w:rPr>
      </w:pPr>
      <w:r>
        <w:rPr>
          <w:rFonts w:asciiTheme="majorHAnsi" w:hAnsiTheme="majorHAnsi" w:cstheme="majorHAnsi"/>
          <w:b/>
          <w:bCs/>
          <w:color w:val="000000"/>
          <w:sz w:val="18"/>
          <w:szCs w:val="18"/>
        </w:rPr>
        <w:t>BIOCELTIX</w:t>
      </w:r>
      <w:r w:rsidRPr="00C51F29">
        <w:rPr>
          <w:rFonts w:asciiTheme="majorHAnsi" w:hAnsiTheme="majorHAnsi" w:cstheme="majorHAnsi"/>
          <w:b/>
          <w:bCs/>
          <w:color w:val="000000"/>
          <w:sz w:val="18"/>
          <w:szCs w:val="18"/>
        </w:rPr>
        <w:t xml:space="preserve"> S.A. z siedzibą we Wrocławiu</w:t>
      </w:r>
    </w:p>
    <w:p w14:paraId="55416A48" w14:textId="77777777" w:rsidR="006A1004" w:rsidRDefault="001B3D54" w:rsidP="001B3D54">
      <w:pPr>
        <w:autoSpaceDE w:val="0"/>
        <w:autoSpaceDN w:val="0"/>
        <w:adjustRightInd w:val="0"/>
        <w:spacing w:after="0" w:line="240" w:lineRule="auto"/>
        <w:jc w:val="center"/>
        <w:rPr>
          <w:rFonts w:asciiTheme="majorHAnsi" w:hAnsiTheme="majorHAnsi" w:cstheme="majorHAnsi"/>
          <w:b/>
          <w:bCs/>
          <w:color w:val="000000"/>
          <w:sz w:val="18"/>
          <w:szCs w:val="18"/>
        </w:rPr>
      </w:pPr>
      <w:r w:rsidRPr="00C51F29">
        <w:rPr>
          <w:rFonts w:asciiTheme="majorHAnsi" w:hAnsiTheme="majorHAnsi" w:cstheme="majorHAnsi"/>
          <w:b/>
          <w:bCs/>
          <w:color w:val="000000"/>
          <w:sz w:val="18"/>
          <w:szCs w:val="18"/>
        </w:rPr>
        <w:t xml:space="preserve">zwołanym na dzień </w:t>
      </w:r>
      <w:r>
        <w:rPr>
          <w:rFonts w:asciiTheme="majorHAnsi" w:hAnsiTheme="majorHAnsi" w:cstheme="majorHAnsi"/>
          <w:b/>
          <w:bCs/>
          <w:color w:val="000000"/>
          <w:sz w:val="18"/>
          <w:szCs w:val="18"/>
        </w:rPr>
        <w:t>23 czerwca</w:t>
      </w:r>
      <w:r w:rsidRPr="00C51F29">
        <w:rPr>
          <w:rFonts w:asciiTheme="majorHAnsi" w:hAnsiTheme="majorHAnsi" w:cstheme="majorHAnsi"/>
          <w:b/>
          <w:bCs/>
          <w:color w:val="000000"/>
          <w:sz w:val="18"/>
          <w:szCs w:val="18"/>
        </w:rPr>
        <w:t xml:space="preserve"> 2026 roku</w:t>
      </w:r>
      <w:r w:rsidR="006A1004">
        <w:rPr>
          <w:rFonts w:asciiTheme="majorHAnsi" w:hAnsiTheme="majorHAnsi" w:cstheme="majorHAnsi"/>
          <w:b/>
          <w:bCs/>
          <w:color w:val="000000"/>
          <w:sz w:val="18"/>
          <w:szCs w:val="18"/>
        </w:rPr>
        <w:t xml:space="preserve">, </w:t>
      </w:r>
    </w:p>
    <w:p w14:paraId="066142A7" w14:textId="55706E39" w:rsidR="001B3D54" w:rsidRPr="00C51F29" w:rsidRDefault="006A1004" w:rsidP="001B3D54">
      <w:pPr>
        <w:autoSpaceDE w:val="0"/>
        <w:autoSpaceDN w:val="0"/>
        <w:adjustRightInd w:val="0"/>
        <w:spacing w:after="0" w:line="240" w:lineRule="auto"/>
        <w:jc w:val="center"/>
        <w:rPr>
          <w:rFonts w:asciiTheme="majorHAnsi" w:hAnsiTheme="majorHAnsi" w:cstheme="majorHAnsi"/>
          <w:b/>
          <w:bCs/>
          <w:color w:val="000000"/>
          <w:sz w:val="18"/>
          <w:szCs w:val="18"/>
        </w:rPr>
      </w:pPr>
      <w:r>
        <w:rPr>
          <w:rFonts w:asciiTheme="majorHAnsi" w:hAnsiTheme="majorHAnsi" w:cstheme="majorHAnsi"/>
          <w:b/>
          <w:bCs/>
          <w:color w:val="000000"/>
          <w:sz w:val="18"/>
          <w:szCs w:val="18"/>
        </w:rPr>
        <w:t>które będzie kontynuowane po przerwie w dniu 16 lipca 2026 roku</w:t>
      </w:r>
    </w:p>
    <w:p w14:paraId="5C46B1D2"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b/>
          <w:bCs/>
          <w:color w:val="000000"/>
          <w:sz w:val="18"/>
          <w:szCs w:val="18"/>
        </w:rPr>
        <w:t xml:space="preserve">OBJAŚNIENIA: </w:t>
      </w:r>
    </w:p>
    <w:p w14:paraId="1F20A520"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426B7C50"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 xml:space="preserve">Akcjonariusze proszeni są o wydanie instrukcji poprzez wstawienie „X” w odpowiedniej rubryce oraz wpisanie liczby akcji, </w:t>
      </w:r>
      <w:r w:rsidRPr="00C51F29">
        <w:rPr>
          <w:rFonts w:asciiTheme="majorHAnsi" w:hAnsiTheme="majorHAnsi" w:cstheme="majorHAnsi"/>
          <w:color w:val="000000"/>
          <w:sz w:val="18"/>
          <w:szCs w:val="18"/>
        </w:rPr>
        <w:br/>
        <w:t>z których odbywać się będzie dane głosowanie nad uchwałą.</w:t>
      </w:r>
    </w:p>
    <w:p w14:paraId="308CF20A"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2A2E2F78"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Jeżeli pole „Treść instrukcji” lub „Treść sprzeciwu” nie jest uzupełniane, wówczas Akcjonariusz jest proszony o jego przekreślenie.</w:t>
      </w:r>
    </w:p>
    <w:p w14:paraId="48DFCD29"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4CCE6B12"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 xml:space="preserve">W przypadku uzupełnienia rubryki „Treść instrukcji” Akcjonariusz proszony jest o szczegółowe określenie w tej rubryce instrukcji dotyczącej wykonywania prawa głosu przez pełnomocnika, również na wypadek zgłoszenia innych projektów uchwał przez akcjonariuszy Spółki, w tym w przypadku zgłoszenia jakichkolwiek zmian do odpowiadających poszczególnym punktom obrad projektów uchwał. </w:t>
      </w:r>
    </w:p>
    <w:p w14:paraId="25EE6ED4"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471E73F6"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W przypadku głosowania przeciwko danej uchwale, Akcjonariusz może poniżej wyrazić sprzeciw z prośbą o wpisanie do protokołu. W takim przypadku Akcjonariusz proszony jest o wpisanie treści sprzeciwu w rubryce „Treść sprzeciwu”.</w:t>
      </w:r>
    </w:p>
    <w:p w14:paraId="76538000"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7C6285D2"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Emitent zwraca uwagę, że treści projektów uchwał załączone do tego formularza mogą różnić się od treści uchwał opublikowanych na stronie internetowej Emitenta oraz od finalnej treści uchwały poddanej pod głosowanie. W celu uniknięcia wątpliwości co do sposobu głosowania pełnomocnika w takim przypadku, zalecamy określenie w rubryce „Treść instrukcji w przypadku innego projektu uchwały” sposobu postępowania pełnomocnika w powyższej sytuacji.</w:t>
      </w:r>
    </w:p>
    <w:p w14:paraId="6AB4B303"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31445F52"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r w:rsidRPr="00C51F29">
        <w:rPr>
          <w:rFonts w:asciiTheme="majorHAnsi" w:hAnsiTheme="majorHAnsi" w:cstheme="majorHAnsi"/>
          <w:color w:val="000000"/>
          <w:sz w:val="18"/>
          <w:szCs w:val="18"/>
        </w:rPr>
        <w:t>Emitent zwraca się z prośbą do Akcjonariusza o podpisanie każdej strony formularza w przypadku formularza w formie pisemnej.</w:t>
      </w:r>
    </w:p>
    <w:p w14:paraId="27098F7A" w14:textId="77777777" w:rsidR="001B3D54" w:rsidRPr="00C51F29" w:rsidRDefault="001B3D54" w:rsidP="001B3D54">
      <w:pPr>
        <w:autoSpaceDE w:val="0"/>
        <w:autoSpaceDN w:val="0"/>
        <w:adjustRightInd w:val="0"/>
        <w:spacing w:after="0" w:line="240" w:lineRule="auto"/>
        <w:jc w:val="both"/>
        <w:rPr>
          <w:rFonts w:asciiTheme="majorHAnsi" w:hAnsiTheme="majorHAnsi" w:cstheme="majorHAnsi"/>
          <w:color w:val="000000"/>
          <w:sz w:val="18"/>
          <w:szCs w:val="18"/>
        </w:rPr>
      </w:pPr>
    </w:p>
    <w:p w14:paraId="34D2081F" w14:textId="77777777" w:rsidR="001B3D54" w:rsidRPr="00C51F29" w:rsidRDefault="001B3D54" w:rsidP="001B3D54">
      <w:pPr>
        <w:spacing w:after="0" w:line="360" w:lineRule="auto"/>
        <w:jc w:val="both"/>
        <w:rPr>
          <w:rFonts w:asciiTheme="majorHAnsi" w:hAnsiTheme="majorHAnsi" w:cstheme="majorHAnsi"/>
          <w:sz w:val="18"/>
          <w:szCs w:val="18"/>
        </w:rPr>
      </w:pPr>
    </w:p>
    <w:p w14:paraId="788E6E11" w14:textId="77777777" w:rsidR="001B3D54" w:rsidRPr="00C51F29" w:rsidRDefault="001B3D54" w:rsidP="001B3D54">
      <w:pPr>
        <w:spacing w:after="0" w:line="360" w:lineRule="auto"/>
        <w:jc w:val="both"/>
        <w:rPr>
          <w:rFonts w:asciiTheme="majorHAnsi" w:hAnsiTheme="majorHAnsi" w:cstheme="majorHAnsi"/>
          <w:sz w:val="18"/>
          <w:szCs w:val="18"/>
        </w:rPr>
      </w:pPr>
      <w:r w:rsidRPr="00C51F29">
        <w:rPr>
          <w:rFonts w:asciiTheme="majorHAnsi" w:hAnsiTheme="majorHAnsi" w:cstheme="majorHAnsi"/>
          <w:sz w:val="18"/>
          <w:szCs w:val="18"/>
        </w:rPr>
        <w:t>* niepotrzebne skreślić.</w:t>
      </w:r>
    </w:p>
    <w:p w14:paraId="0B217618" w14:textId="77777777" w:rsidR="001B3D54" w:rsidRPr="00C51F29" w:rsidRDefault="001B3D54" w:rsidP="001B3D54">
      <w:pPr>
        <w:spacing w:after="160" w:line="259" w:lineRule="auto"/>
        <w:jc w:val="both"/>
        <w:rPr>
          <w:rFonts w:asciiTheme="majorHAnsi" w:hAnsiTheme="majorHAnsi" w:cstheme="majorHAnsi"/>
          <w:sz w:val="18"/>
          <w:szCs w:val="18"/>
        </w:rPr>
      </w:pPr>
      <w:r w:rsidRPr="00C51F29">
        <w:rPr>
          <w:rFonts w:asciiTheme="majorHAnsi" w:hAnsiTheme="majorHAnsi" w:cstheme="majorHAnsi"/>
          <w:sz w:val="18"/>
          <w:szCs w:val="18"/>
        </w:rPr>
        <w:br w:type="page"/>
      </w:r>
    </w:p>
    <w:p w14:paraId="514ADD66" w14:textId="77777777" w:rsidR="00E45E54" w:rsidRDefault="00E45E54" w:rsidP="00E45E54">
      <w:pPr>
        <w:spacing w:after="120" w:line="240" w:lineRule="auto"/>
        <w:jc w:val="both"/>
        <w:rPr>
          <w:rFonts w:asciiTheme="majorHAnsi" w:hAnsiTheme="majorHAnsi" w:cstheme="majorHAnsi"/>
          <w:b/>
          <w:i/>
          <w:sz w:val="18"/>
          <w:szCs w:val="18"/>
          <w:lang w:eastAsia="pl-PL"/>
        </w:rPr>
      </w:pPr>
    </w:p>
    <w:p w14:paraId="37462B8B" w14:textId="070CA190" w:rsidR="004E396D" w:rsidRPr="004E396D" w:rsidRDefault="004E396D" w:rsidP="006A1004">
      <w:pPr>
        <w:spacing w:after="120" w:line="240" w:lineRule="auto"/>
        <w:jc w:val="center"/>
        <w:rPr>
          <w:rFonts w:ascii="Calibri Light" w:hAnsi="Calibri Light" w:cs="Calibri Light"/>
          <w:b/>
          <w:bCs/>
          <w:sz w:val="18"/>
          <w:szCs w:val="18"/>
          <w:u w:val="single"/>
        </w:rPr>
      </w:pPr>
      <w:r w:rsidRPr="004E396D">
        <w:rPr>
          <w:rFonts w:ascii="Calibri Light" w:hAnsi="Calibri Light" w:cs="Calibri Light"/>
          <w:b/>
          <w:bCs/>
          <w:sz w:val="18"/>
          <w:szCs w:val="18"/>
          <w:u w:val="single"/>
        </w:rPr>
        <w:t>PROJEKTY UCHWAŁ ZWYCZAJNEGO WALNEGO ZGROMADZENIA BIOCELTIX S.A. ZWOŁANEGO NA DZIEŃ 23 CZERWCA 2026 ROKU</w:t>
      </w:r>
      <w:r w:rsidR="006A1004" w:rsidRPr="006A1004">
        <w:rPr>
          <w:rFonts w:ascii="Calibri Light" w:hAnsi="Calibri Light" w:cs="Calibri Light"/>
          <w:b/>
          <w:bCs/>
          <w:sz w:val="18"/>
          <w:szCs w:val="18"/>
          <w:u w:val="single"/>
        </w:rPr>
        <w:t>, KTÓRE BĘDZIE KONTYNUOWANE PO PRZERWIE W DNIU 16 LIPCA 2026 ROKU</w:t>
      </w:r>
    </w:p>
    <w:p w14:paraId="1A013D9A" w14:textId="77777777" w:rsidR="004E396D" w:rsidRPr="004E396D" w:rsidRDefault="004E396D" w:rsidP="004E396D">
      <w:pPr>
        <w:spacing w:after="0" w:line="240" w:lineRule="auto"/>
        <w:jc w:val="center"/>
        <w:outlineLvl w:val="0"/>
        <w:rPr>
          <w:rFonts w:asciiTheme="majorHAnsi" w:eastAsia="Times New Roman" w:hAnsiTheme="majorHAnsi" w:cstheme="majorHAnsi"/>
          <w:b/>
          <w:sz w:val="18"/>
          <w:szCs w:val="18"/>
        </w:rPr>
      </w:pPr>
    </w:p>
    <w:p w14:paraId="61AE5AD5" w14:textId="77777777" w:rsidR="006A1004" w:rsidRPr="00467B5A" w:rsidRDefault="006A1004" w:rsidP="006A1004">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 xml:space="preserve">Uchwała nr </w:t>
      </w:r>
      <w:r>
        <w:rPr>
          <w:rFonts w:asciiTheme="majorHAnsi" w:eastAsia="Times New Roman" w:hAnsiTheme="majorHAnsi" w:cstheme="majorHAnsi"/>
          <w:b/>
          <w:bCs/>
          <w:color w:val="000000" w:themeColor="text1"/>
          <w:sz w:val="18"/>
          <w:szCs w:val="18"/>
          <w:lang w:eastAsia="pl-PL"/>
        </w:rPr>
        <w:t>21</w:t>
      </w:r>
      <w:r w:rsidRPr="00467B5A">
        <w:rPr>
          <w:rFonts w:asciiTheme="majorHAnsi" w:eastAsia="Times New Roman" w:hAnsiTheme="majorHAnsi" w:cstheme="majorHAnsi"/>
          <w:b/>
          <w:bCs/>
          <w:color w:val="000000" w:themeColor="text1"/>
          <w:sz w:val="18"/>
          <w:szCs w:val="18"/>
          <w:lang w:eastAsia="pl-PL"/>
        </w:rPr>
        <w:t>/06/2026</w:t>
      </w:r>
    </w:p>
    <w:p w14:paraId="78DF8E25" w14:textId="77777777" w:rsidR="006A1004" w:rsidRPr="00467B5A" w:rsidRDefault="006A1004" w:rsidP="006A1004">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 xml:space="preserve">Zwyczajnego Walnego Zgromadzenia </w:t>
      </w:r>
    </w:p>
    <w:p w14:paraId="335D0971" w14:textId="77777777" w:rsidR="006A1004" w:rsidRPr="00467B5A" w:rsidRDefault="006A1004" w:rsidP="006A1004">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spółki pod firmą BIOCELTIX spółka akcyjna z siedzibą we Wrocławiu</w:t>
      </w:r>
    </w:p>
    <w:p w14:paraId="13401263" w14:textId="77777777" w:rsidR="006A1004" w:rsidRPr="00467B5A" w:rsidRDefault="006A1004" w:rsidP="006A1004">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 xml:space="preserve">z dnia </w:t>
      </w:r>
      <w:r w:rsidRPr="00D662A6">
        <w:rPr>
          <w:rFonts w:asciiTheme="majorHAnsi" w:eastAsia="Times New Roman" w:hAnsiTheme="majorHAnsi" w:cstheme="majorHAnsi"/>
          <w:b/>
          <w:bCs/>
          <w:color w:val="000000" w:themeColor="text1"/>
          <w:sz w:val="18"/>
          <w:szCs w:val="18"/>
          <w:lang w:eastAsia="pl-PL"/>
        </w:rPr>
        <w:t xml:space="preserve">16 lipca </w:t>
      </w:r>
      <w:r w:rsidRPr="00467B5A">
        <w:rPr>
          <w:rFonts w:asciiTheme="majorHAnsi" w:eastAsia="Times New Roman" w:hAnsiTheme="majorHAnsi" w:cstheme="majorHAnsi"/>
          <w:b/>
          <w:bCs/>
          <w:color w:val="000000" w:themeColor="text1"/>
          <w:sz w:val="18"/>
          <w:szCs w:val="18"/>
          <w:lang w:eastAsia="pl-PL"/>
        </w:rPr>
        <w:t>2026 roku</w:t>
      </w:r>
    </w:p>
    <w:p w14:paraId="1C0E2DBE" w14:textId="77777777" w:rsidR="006A1004" w:rsidRPr="00A11268" w:rsidRDefault="006A1004" w:rsidP="006A1004">
      <w:pPr>
        <w:spacing w:after="120" w:line="240" w:lineRule="auto"/>
        <w:jc w:val="center"/>
        <w:rPr>
          <w:rFonts w:asciiTheme="majorHAnsi" w:hAnsiTheme="majorHAnsi" w:cstheme="majorHAnsi"/>
          <w:b/>
          <w:sz w:val="18"/>
          <w:szCs w:val="18"/>
        </w:rPr>
      </w:pPr>
      <w:r w:rsidRPr="00A11268">
        <w:rPr>
          <w:rFonts w:asciiTheme="majorHAnsi" w:eastAsia="Times New Roman" w:hAnsiTheme="majorHAnsi" w:cstheme="majorHAnsi"/>
          <w:b/>
          <w:bCs/>
          <w:color w:val="000000" w:themeColor="text1"/>
          <w:sz w:val="18"/>
          <w:szCs w:val="18"/>
          <w:lang w:eastAsia="pl-PL"/>
        </w:rPr>
        <w:t xml:space="preserve">w sprawie </w:t>
      </w:r>
      <w:r w:rsidRPr="00A11268">
        <w:rPr>
          <w:rFonts w:asciiTheme="majorHAnsi" w:hAnsiTheme="majorHAnsi" w:cstheme="majorHAnsi"/>
          <w:b/>
          <w:sz w:val="18"/>
          <w:szCs w:val="18"/>
        </w:rPr>
        <w:t>ustanowienia w Spółce Programu Motywacyjnego oraz uchylenia uchwały nr 05/02/2021 Nadzwyczajnego Walnego Zgromadzenia Spółki z dnia 09 lutego 2021 r. zmienionej uchwałą nr 19/06/2024 Zwyczajnego Walnego Zgromadzenia Spółki z dnia 26 czerwca 2024 r.</w:t>
      </w:r>
    </w:p>
    <w:p w14:paraId="66FD9A54" w14:textId="77777777" w:rsidR="006A1004" w:rsidRDefault="006A1004" w:rsidP="006A1004">
      <w:pPr>
        <w:widowControl w:val="0"/>
        <w:spacing w:after="120" w:line="240" w:lineRule="auto"/>
        <w:jc w:val="both"/>
        <w:rPr>
          <w:rFonts w:asciiTheme="majorHAnsi" w:hAnsiTheme="majorHAnsi" w:cstheme="majorHAnsi"/>
          <w:color w:val="000000"/>
          <w:sz w:val="18"/>
          <w:szCs w:val="18"/>
        </w:rPr>
      </w:pPr>
    </w:p>
    <w:p w14:paraId="2A166D39" w14:textId="77777777" w:rsidR="006A1004" w:rsidRPr="00A11268" w:rsidRDefault="006A1004" w:rsidP="006A1004">
      <w:pPr>
        <w:widowControl w:val="0"/>
        <w:spacing w:after="120" w:line="240" w:lineRule="auto"/>
        <w:jc w:val="both"/>
        <w:rPr>
          <w:rFonts w:asciiTheme="majorHAnsi" w:hAnsiTheme="majorHAnsi" w:cstheme="majorHAnsi"/>
          <w:sz w:val="18"/>
          <w:szCs w:val="18"/>
        </w:rPr>
      </w:pPr>
      <w:r w:rsidRPr="00A11268">
        <w:rPr>
          <w:rFonts w:asciiTheme="majorHAnsi" w:hAnsiTheme="majorHAnsi" w:cstheme="majorHAnsi"/>
          <w:color w:val="000000"/>
          <w:sz w:val="18"/>
          <w:szCs w:val="18"/>
        </w:rPr>
        <w:t>Zwyczajne Walne Zgromadzenie spółki</w:t>
      </w:r>
      <w:r w:rsidRPr="00A11268">
        <w:rPr>
          <w:rFonts w:asciiTheme="majorHAnsi" w:hAnsiTheme="majorHAnsi" w:cstheme="majorHAnsi"/>
          <w:sz w:val="18"/>
          <w:szCs w:val="18"/>
        </w:rPr>
        <w:t xml:space="preserve"> pod firmą </w:t>
      </w:r>
      <w:proofErr w:type="spellStart"/>
      <w:r w:rsidRPr="00A11268">
        <w:rPr>
          <w:rFonts w:asciiTheme="majorHAnsi" w:hAnsiTheme="majorHAnsi" w:cstheme="majorHAnsi"/>
          <w:sz w:val="18"/>
          <w:szCs w:val="18"/>
        </w:rPr>
        <w:t>Bioceltix</w:t>
      </w:r>
      <w:proofErr w:type="spellEnd"/>
      <w:r w:rsidRPr="00A11268">
        <w:rPr>
          <w:rFonts w:asciiTheme="majorHAnsi" w:hAnsiTheme="majorHAnsi" w:cstheme="majorHAnsi"/>
          <w:sz w:val="18"/>
          <w:szCs w:val="18"/>
        </w:rPr>
        <w:t xml:space="preserve"> S.A. z siedzibą we Wrocławiu („</w:t>
      </w:r>
      <w:r w:rsidRPr="00A11268">
        <w:rPr>
          <w:rFonts w:asciiTheme="majorHAnsi" w:hAnsiTheme="majorHAnsi" w:cstheme="majorHAnsi"/>
          <w:b/>
          <w:sz w:val="18"/>
          <w:szCs w:val="18"/>
        </w:rPr>
        <w:t>Spółka</w:t>
      </w:r>
      <w:r w:rsidRPr="00A11268">
        <w:rPr>
          <w:rFonts w:asciiTheme="majorHAnsi" w:hAnsiTheme="majorHAnsi" w:cstheme="majorHAnsi"/>
          <w:sz w:val="18"/>
          <w:szCs w:val="18"/>
        </w:rPr>
        <w:t>”), w celu zapewnienia długookresowej współpracy ze Spółką kluczowych osób oraz realizacji celów Spółki, a tym samym stworzenia mechanizmów umożliwiających długofalowo wzrost wartości Spółki, postanawia wprowadzić w Spółce program motywacyjny na zasadach określonych w niniejszej uchwale:</w:t>
      </w:r>
    </w:p>
    <w:p w14:paraId="3968DBFB"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06CBEF79" w14:textId="77777777" w:rsidR="006A1004" w:rsidRPr="00A11268" w:rsidRDefault="006A1004" w:rsidP="006A1004">
      <w:pPr>
        <w:spacing w:after="120" w:line="240" w:lineRule="auto"/>
        <w:jc w:val="center"/>
        <w:rPr>
          <w:rFonts w:asciiTheme="majorHAnsi" w:hAnsiTheme="majorHAnsi" w:cstheme="majorHAnsi"/>
          <w:sz w:val="18"/>
          <w:szCs w:val="18"/>
        </w:rPr>
      </w:pPr>
      <w:r w:rsidRPr="00A11268">
        <w:rPr>
          <w:rFonts w:asciiTheme="majorHAnsi" w:hAnsiTheme="majorHAnsi" w:cstheme="majorHAnsi"/>
          <w:b/>
          <w:sz w:val="18"/>
          <w:szCs w:val="18"/>
        </w:rPr>
        <w:t>Definicje</w:t>
      </w:r>
    </w:p>
    <w:p w14:paraId="58AEACC7" w14:textId="77777777" w:rsidR="006A1004" w:rsidRPr="00A11268" w:rsidRDefault="006A1004" w:rsidP="006A1004">
      <w:pPr>
        <w:spacing w:after="120" w:line="240" w:lineRule="auto"/>
        <w:jc w:val="both"/>
        <w:rPr>
          <w:rFonts w:asciiTheme="majorHAnsi" w:hAnsiTheme="majorHAnsi" w:cstheme="majorHAnsi"/>
          <w:sz w:val="18"/>
          <w:szCs w:val="18"/>
        </w:rPr>
      </w:pPr>
      <w:r w:rsidRPr="00A11268">
        <w:rPr>
          <w:rFonts w:asciiTheme="majorHAnsi" w:hAnsiTheme="majorHAnsi" w:cstheme="majorHAnsi"/>
          <w:sz w:val="18"/>
          <w:szCs w:val="18"/>
        </w:rPr>
        <w:t>Wyrażenia pisane w niniejszej uchwale wielką literą posiadają następujące znaczenie (przy czym odniesienia do wyrażeń w</w:t>
      </w:r>
      <w:r>
        <w:rPr>
          <w:rFonts w:asciiTheme="majorHAnsi" w:hAnsiTheme="majorHAnsi" w:cstheme="majorHAnsi"/>
          <w:sz w:val="18"/>
          <w:szCs w:val="18"/>
        </w:rPr>
        <w:t> </w:t>
      </w:r>
      <w:r w:rsidRPr="00A11268">
        <w:rPr>
          <w:rFonts w:asciiTheme="majorHAnsi" w:hAnsiTheme="majorHAnsi" w:cstheme="majorHAnsi"/>
          <w:sz w:val="18"/>
          <w:szCs w:val="18"/>
        </w:rPr>
        <w:t>liczbie pojedynczej dotyczą także wyrażeń w liczbie mnogiej i odwrotnie, chyba że z kontekstu wynika inaczej):</w:t>
      </w:r>
    </w:p>
    <w:tbl>
      <w:tblPr>
        <w:tblStyle w:val="Tabela-Siatka"/>
        <w:tblW w:w="9498"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5109"/>
      </w:tblGrid>
      <w:tr w:rsidR="006A1004" w:rsidRPr="00A11268" w14:paraId="4BF46987" w14:textId="77777777" w:rsidTr="0063484D">
        <w:tc>
          <w:tcPr>
            <w:tcW w:w="4389" w:type="dxa"/>
          </w:tcPr>
          <w:p w14:paraId="4027347F"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Akcje Nowej Emisji</w:t>
            </w:r>
            <w:r w:rsidRPr="00A11268">
              <w:rPr>
                <w:rFonts w:asciiTheme="majorHAnsi" w:hAnsiTheme="majorHAnsi" w:cstheme="majorHAnsi"/>
                <w:sz w:val="18"/>
                <w:szCs w:val="18"/>
              </w:rPr>
              <w:t xml:space="preserve">” </w:t>
            </w:r>
          </w:p>
        </w:tc>
        <w:tc>
          <w:tcPr>
            <w:tcW w:w="5109" w:type="dxa"/>
          </w:tcPr>
          <w:p w14:paraId="3B15BCAF"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nie więcej niż </w:t>
            </w:r>
            <w:r w:rsidRPr="00A1273B">
              <w:rPr>
                <w:rFonts w:asciiTheme="majorHAnsi" w:hAnsiTheme="majorHAnsi" w:cstheme="majorHAnsi"/>
                <w:sz w:val="18"/>
                <w:szCs w:val="18"/>
              </w:rPr>
              <w:t>247</w:t>
            </w:r>
            <w:r>
              <w:rPr>
                <w:rFonts w:asciiTheme="majorHAnsi" w:hAnsiTheme="majorHAnsi" w:cstheme="majorHAnsi"/>
                <w:sz w:val="18"/>
                <w:szCs w:val="18"/>
              </w:rPr>
              <w:t>.</w:t>
            </w:r>
            <w:r w:rsidRPr="00A1273B">
              <w:rPr>
                <w:rFonts w:asciiTheme="majorHAnsi" w:hAnsiTheme="majorHAnsi" w:cstheme="majorHAnsi"/>
                <w:sz w:val="18"/>
                <w:szCs w:val="18"/>
              </w:rPr>
              <w:t>825</w:t>
            </w:r>
            <w:r>
              <w:rPr>
                <w:rFonts w:asciiTheme="majorHAnsi" w:hAnsiTheme="majorHAnsi" w:cstheme="majorHAnsi"/>
                <w:sz w:val="18"/>
                <w:szCs w:val="18"/>
              </w:rPr>
              <w:t xml:space="preserve"> (dwieście czterdzieści siedem tysięcy osiemset dwadzieścia pięć)</w:t>
            </w:r>
            <w:r w:rsidRPr="00A11268">
              <w:rPr>
                <w:rFonts w:asciiTheme="majorHAnsi" w:hAnsiTheme="majorHAnsi" w:cstheme="majorHAnsi"/>
                <w:sz w:val="18"/>
                <w:szCs w:val="18"/>
              </w:rPr>
              <w:t xml:space="preserve"> akcji zwykłych Spółki na</w:t>
            </w:r>
            <w:r>
              <w:rPr>
                <w:rFonts w:asciiTheme="majorHAnsi" w:hAnsiTheme="majorHAnsi" w:cstheme="majorHAnsi"/>
                <w:sz w:val="18"/>
                <w:szCs w:val="18"/>
              </w:rPr>
              <w:t> </w:t>
            </w:r>
            <w:r w:rsidRPr="00A11268">
              <w:rPr>
                <w:rFonts w:asciiTheme="majorHAnsi" w:hAnsiTheme="majorHAnsi" w:cstheme="majorHAnsi"/>
                <w:sz w:val="18"/>
                <w:szCs w:val="18"/>
              </w:rPr>
              <w:t xml:space="preserve">okaziciela serii H emitowanych w ramach warunkowego podwyższenia jej kapitału zakładowego, na podstawie Uchwały </w:t>
            </w:r>
            <w:proofErr w:type="spellStart"/>
            <w:r w:rsidRPr="00A11268">
              <w:rPr>
                <w:rFonts w:asciiTheme="majorHAnsi" w:hAnsiTheme="majorHAnsi" w:cstheme="majorHAnsi"/>
                <w:sz w:val="18"/>
                <w:szCs w:val="18"/>
              </w:rPr>
              <w:t>ws</w:t>
            </w:r>
            <w:proofErr w:type="spellEnd"/>
            <w:r w:rsidRPr="00A11268">
              <w:rPr>
                <w:rFonts w:asciiTheme="majorHAnsi" w:hAnsiTheme="majorHAnsi" w:cstheme="majorHAnsi"/>
                <w:sz w:val="18"/>
                <w:szCs w:val="18"/>
              </w:rPr>
              <w:t xml:space="preserve">. Emisji Warrantów Subskrypcyjnych; </w:t>
            </w:r>
          </w:p>
        </w:tc>
      </w:tr>
      <w:tr w:rsidR="006A1004" w:rsidRPr="00A11268" w14:paraId="161A340C" w14:textId="77777777" w:rsidTr="0063484D">
        <w:tc>
          <w:tcPr>
            <w:tcW w:w="4389" w:type="dxa"/>
          </w:tcPr>
          <w:p w14:paraId="7A8145B8"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Cel</w:t>
            </w:r>
            <w:r>
              <w:rPr>
                <w:rFonts w:asciiTheme="majorHAnsi" w:hAnsiTheme="majorHAnsi" w:cstheme="majorHAnsi"/>
                <w:b/>
                <w:sz w:val="18"/>
                <w:szCs w:val="18"/>
              </w:rPr>
              <w:t xml:space="preserve"> </w:t>
            </w:r>
            <w:r w:rsidRPr="00D662A6">
              <w:rPr>
                <w:rFonts w:asciiTheme="majorHAnsi" w:hAnsiTheme="majorHAnsi" w:cstheme="majorHAnsi"/>
                <w:b/>
                <w:sz w:val="18"/>
                <w:szCs w:val="18"/>
              </w:rPr>
              <w:t>BCX-CM-</w:t>
            </w:r>
            <w:r>
              <w:rPr>
                <w:rFonts w:asciiTheme="majorHAnsi" w:hAnsiTheme="majorHAnsi" w:cstheme="majorHAnsi"/>
                <w:b/>
                <w:sz w:val="18"/>
                <w:szCs w:val="18"/>
              </w:rPr>
              <w:t>AD</w:t>
            </w:r>
            <w:r w:rsidRPr="00A11268">
              <w:rPr>
                <w:rFonts w:asciiTheme="majorHAnsi" w:hAnsiTheme="majorHAnsi" w:cstheme="majorHAnsi"/>
                <w:sz w:val="18"/>
                <w:szCs w:val="18"/>
              </w:rPr>
              <w:t>”</w:t>
            </w:r>
          </w:p>
        </w:tc>
        <w:tc>
          <w:tcPr>
            <w:tcW w:w="5109" w:type="dxa"/>
          </w:tcPr>
          <w:p w14:paraId="4C5C9057" w14:textId="77777777" w:rsidR="006A1004" w:rsidRPr="00A1273B" w:rsidRDefault="006A1004" w:rsidP="0063484D">
            <w:pPr>
              <w:spacing w:after="120" w:line="240" w:lineRule="auto"/>
              <w:ind w:left="30"/>
              <w:jc w:val="both"/>
              <w:rPr>
                <w:rFonts w:cstheme="majorHAnsi"/>
                <w:sz w:val="18"/>
                <w:szCs w:val="18"/>
              </w:rPr>
            </w:pPr>
            <w:r w:rsidRPr="00A11268">
              <w:rPr>
                <w:rFonts w:asciiTheme="majorHAnsi" w:hAnsiTheme="majorHAnsi" w:cstheme="majorHAnsi"/>
                <w:sz w:val="18"/>
                <w:szCs w:val="18"/>
              </w:rPr>
              <w:t>oznacza</w:t>
            </w:r>
            <w:r>
              <w:rPr>
                <w:rFonts w:asciiTheme="majorHAnsi" w:hAnsiTheme="majorHAnsi" w:cstheme="majorHAnsi"/>
                <w:sz w:val="18"/>
                <w:szCs w:val="18"/>
              </w:rPr>
              <w:t xml:space="preserve"> wydanie przez Komisję Europejską </w:t>
            </w:r>
            <w:r w:rsidRPr="00A11268">
              <w:rPr>
                <w:rFonts w:asciiTheme="majorHAnsi" w:hAnsiTheme="majorHAnsi" w:cstheme="majorHAnsi"/>
                <w:sz w:val="18"/>
                <w:szCs w:val="18"/>
              </w:rPr>
              <w:t>– nie później niż w </w:t>
            </w:r>
            <w:r>
              <w:rPr>
                <w:rFonts w:asciiTheme="majorHAnsi" w:hAnsiTheme="majorHAnsi" w:cstheme="majorHAnsi"/>
                <w:sz w:val="18"/>
                <w:szCs w:val="18"/>
              </w:rPr>
              <w:t>terminie 18 (osiemnastu) miesięcy od dnia osiągnięcia Celu BCX</w:t>
            </w:r>
            <w:r>
              <w:rPr>
                <w:rFonts w:asciiTheme="majorHAnsi" w:hAnsiTheme="majorHAnsi" w:cstheme="majorHAnsi"/>
                <w:sz w:val="18"/>
                <w:szCs w:val="18"/>
              </w:rPr>
              <w:noBreakHyphen/>
              <w:t>CM-J i jednocześnie nie później niż do dnia</w:t>
            </w:r>
            <w:r w:rsidRPr="00A11268">
              <w:rPr>
                <w:rFonts w:asciiTheme="majorHAnsi" w:hAnsiTheme="majorHAnsi" w:cstheme="majorHAnsi"/>
                <w:sz w:val="18"/>
                <w:szCs w:val="18"/>
              </w:rPr>
              <w:t xml:space="preserve"> </w:t>
            </w:r>
            <w:r>
              <w:rPr>
                <w:rFonts w:asciiTheme="majorHAnsi" w:hAnsiTheme="majorHAnsi" w:cstheme="majorHAnsi"/>
                <w:sz w:val="18"/>
                <w:szCs w:val="18"/>
              </w:rPr>
              <w:t xml:space="preserve">30 września 2030 r. (włącznie) </w:t>
            </w:r>
            <w:r w:rsidRPr="00A11268">
              <w:rPr>
                <w:rFonts w:asciiTheme="majorHAnsi" w:hAnsiTheme="majorHAnsi" w:cstheme="majorHAnsi"/>
                <w:sz w:val="18"/>
                <w:szCs w:val="18"/>
              </w:rPr>
              <w:t xml:space="preserve">– </w:t>
            </w:r>
            <w:r w:rsidRPr="00D662A6">
              <w:rPr>
                <w:rFonts w:asciiTheme="majorHAnsi" w:hAnsiTheme="majorHAnsi" w:cstheme="majorHAnsi"/>
                <w:sz w:val="18"/>
                <w:szCs w:val="18"/>
              </w:rPr>
              <w:t>decyzji o udzieleniu pozwolenia na</w:t>
            </w:r>
            <w:r>
              <w:rPr>
                <w:rFonts w:asciiTheme="majorHAnsi" w:hAnsiTheme="majorHAnsi" w:cstheme="majorHAnsi"/>
                <w:sz w:val="18"/>
                <w:szCs w:val="18"/>
              </w:rPr>
              <w:t> </w:t>
            </w:r>
            <w:r w:rsidRPr="00D662A6">
              <w:rPr>
                <w:rFonts w:asciiTheme="majorHAnsi" w:hAnsiTheme="majorHAnsi" w:cstheme="majorHAnsi"/>
                <w:sz w:val="18"/>
                <w:szCs w:val="18"/>
              </w:rPr>
              <w:t>dopuszczenie do</w:t>
            </w:r>
            <w:r>
              <w:rPr>
                <w:rFonts w:asciiTheme="majorHAnsi" w:hAnsiTheme="majorHAnsi" w:cstheme="majorHAnsi"/>
                <w:sz w:val="18"/>
                <w:szCs w:val="18"/>
              </w:rPr>
              <w:t> </w:t>
            </w:r>
            <w:r w:rsidRPr="00D662A6">
              <w:rPr>
                <w:rFonts w:asciiTheme="majorHAnsi" w:hAnsiTheme="majorHAnsi" w:cstheme="majorHAnsi"/>
                <w:sz w:val="18"/>
                <w:szCs w:val="18"/>
              </w:rPr>
              <w:t xml:space="preserve">obrotu </w:t>
            </w:r>
            <w:r>
              <w:rPr>
                <w:rFonts w:asciiTheme="majorHAnsi" w:hAnsiTheme="majorHAnsi" w:cstheme="majorHAnsi"/>
                <w:sz w:val="18"/>
                <w:szCs w:val="18"/>
              </w:rPr>
              <w:t xml:space="preserve">opracowywanego przez Spółkę weterynaryjnego </w:t>
            </w:r>
            <w:r w:rsidRPr="00D662A6">
              <w:rPr>
                <w:rFonts w:asciiTheme="majorHAnsi" w:hAnsiTheme="majorHAnsi" w:cstheme="majorHAnsi"/>
                <w:sz w:val="18"/>
                <w:szCs w:val="18"/>
              </w:rPr>
              <w:t>produktu leczniczego BCX</w:t>
            </w:r>
            <w:r>
              <w:rPr>
                <w:rFonts w:asciiTheme="majorHAnsi" w:hAnsiTheme="majorHAnsi" w:cstheme="majorHAnsi"/>
                <w:sz w:val="18"/>
                <w:szCs w:val="18"/>
              </w:rPr>
              <w:noBreakHyphen/>
            </w:r>
            <w:r w:rsidRPr="00D662A6">
              <w:rPr>
                <w:rFonts w:asciiTheme="majorHAnsi" w:hAnsiTheme="majorHAnsi" w:cstheme="majorHAnsi"/>
                <w:sz w:val="18"/>
                <w:szCs w:val="18"/>
              </w:rPr>
              <w:t>CM-</w:t>
            </w:r>
            <w:r>
              <w:rPr>
                <w:rFonts w:asciiTheme="majorHAnsi" w:hAnsiTheme="majorHAnsi" w:cstheme="majorHAnsi"/>
                <w:sz w:val="18"/>
                <w:szCs w:val="18"/>
              </w:rPr>
              <w:t>AD przeznaczonego do </w:t>
            </w:r>
            <w:r w:rsidRPr="008E44C7">
              <w:rPr>
                <w:rFonts w:asciiTheme="majorHAnsi" w:hAnsiTheme="majorHAnsi" w:cstheme="majorHAnsi"/>
                <w:sz w:val="18"/>
                <w:szCs w:val="18"/>
              </w:rPr>
              <w:t>stosowan</w:t>
            </w:r>
            <w:r>
              <w:rPr>
                <w:rFonts w:asciiTheme="majorHAnsi" w:hAnsiTheme="majorHAnsi" w:cstheme="majorHAnsi"/>
                <w:sz w:val="18"/>
                <w:szCs w:val="18"/>
              </w:rPr>
              <w:t>ia</w:t>
            </w:r>
            <w:r w:rsidRPr="008E44C7">
              <w:rPr>
                <w:rFonts w:asciiTheme="majorHAnsi" w:hAnsiTheme="majorHAnsi" w:cstheme="majorHAnsi"/>
                <w:sz w:val="18"/>
                <w:szCs w:val="18"/>
              </w:rPr>
              <w:t xml:space="preserve"> w</w:t>
            </w:r>
            <w:r>
              <w:rPr>
                <w:rFonts w:asciiTheme="majorHAnsi" w:hAnsiTheme="majorHAnsi" w:cstheme="majorHAnsi"/>
                <w:sz w:val="18"/>
                <w:szCs w:val="18"/>
              </w:rPr>
              <w:t> </w:t>
            </w:r>
            <w:r w:rsidRPr="00A1273B">
              <w:rPr>
                <w:rFonts w:asciiTheme="majorHAnsi" w:hAnsiTheme="majorHAnsi" w:cstheme="majorHAnsi"/>
                <w:sz w:val="18"/>
                <w:szCs w:val="18"/>
              </w:rPr>
              <w:t>leczeniu atopowego zapalenia skóry u psów</w:t>
            </w:r>
            <w:r>
              <w:rPr>
                <w:rFonts w:asciiTheme="majorHAnsi" w:hAnsiTheme="majorHAnsi" w:cstheme="majorHAnsi"/>
                <w:sz w:val="18"/>
                <w:szCs w:val="18"/>
              </w:rPr>
              <w:t>;</w:t>
            </w:r>
          </w:p>
        </w:tc>
      </w:tr>
      <w:tr w:rsidR="006A1004" w:rsidRPr="00A11268" w14:paraId="1639CE74" w14:textId="77777777" w:rsidTr="0063484D">
        <w:tc>
          <w:tcPr>
            <w:tcW w:w="4389" w:type="dxa"/>
          </w:tcPr>
          <w:p w14:paraId="064B6D0E"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Cel</w:t>
            </w:r>
            <w:r>
              <w:rPr>
                <w:rFonts w:asciiTheme="majorHAnsi" w:hAnsiTheme="majorHAnsi" w:cstheme="majorHAnsi"/>
                <w:b/>
                <w:sz w:val="18"/>
                <w:szCs w:val="18"/>
              </w:rPr>
              <w:t xml:space="preserve"> </w:t>
            </w:r>
            <w:r w:rsidRPr="00D662A6">
              <w:rPr>
                <w:rFonts w:asciiTheme="majorHAnsi" w:hAnsiTheme="majorHAnsi" w:cstheme="majorHAnsi"/>
                <w:b/>
                <w:sz w:val="18"/>
                <w:szCs w:val="18"/>
              </w:rPr>
              <w:t>BCX-CM-J</w:t>
            </w:r>
            <w:r w:rsidRPr="00A11268">
              <w:rPr>
                <w:rFonts w:asciiTheme="majorHAnsi" w:hAnsiTheme="majorHAnsi" w:cstheme="majorHAnsi"/>
                <w:sz w:val="18"/>
                <w:szCs w:val="18"/>
              </w:rPr>
              <w:t>”</w:t>
            </w:r>
          </w:p>
        </w:tc>
        <w:tc>
          <w:tcPr>
            <w:tcW w:w="5109" w:type="dxa"/>
          </w:tcPr>
          <w:p w14:paraId="16A36A83"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w:t>
            </w:r>
            <w:r>
              <w:rPr>
                <w:rFonts w:asciiTheme="majorHAnsi" w:hAnsiTheme="majorHAnsi" w:cstheme="majorHAnsi"/>
                <w:sz w:val="18"/>
                <w:szCs w:val="18"/>
              </w:rPr>
              <w:t xml:space="preserve"> wydanie przez Komisję Europejską </w:t>
            </w:r>
            <w:r w:rsidRPr="00A11268">
              <w:rPr>
                <w:rFonts w:asciiTheme="majorHAnsi" w:hAnsiTheme="majorHAnsi" w:cstheme="majorHAnsi"/>
                <w:sz w:val="18"/>
                <w:szCs w:val="18"/>
              </w:rPr>
              <w:t xml:space="preserve">– nie później niż </w:t>
            </w:r>
            <w:r>
              <w:rPr>
                <w:rFonts w:asciiTheme="majorHAnsi" w:hAnsiTheme="majorHAnsi" w:cstheme="majorHAnsi"/>
                <w:sz w:val="18"/>
                <w:szCs w:val="18"/>
              </w:rPr>
              <w:t>do dnia</w:t>
            </w:r>
            <w:r w:rsidRPr="00A11268">
              <w:rPr>
                <w:rFonts w:asciiTheme="majorHAnsi" w:hAnsiTheme="majorHAnsi" w:cstheme="majorHAnsi"/>
                <w:sz w:val="18"/>
                <w:szCs w:val="18"/>
              </w:rPr>
              <w:t xml:space="preserve"> 30 </w:t>
            </w:r>
            <w:r>
              <w:rPr>
                <w:rFonts w:asciiTheme="majorHAnsi" w:hAnsiTheme="majorHAnsi" w:cstheme="majorHAnsi"/>
                <w:sz w:val="18"/>
                <w:szCs w:val="18"/>
              </w:rPr>
              <w:t>września</w:t>
            </w:r>
            <w:r w:rsidRPr="00A11268">
              <w:rPr>
                <w:rFonts w:asciiTheme="majorHAnsi" w:hAnsiTheme="majorHAnsi" w:cstheme="majorHAnsi"/>
                <w:sz w:val="18"/>
                <w:szCs w:val="18"/>
              </w:rPr>
              <w:t xml:space="preserve"> 2027 r. (włącznie) – </w:t>
            </w:r>
            <w:r w:rsidRPr="00D662A6">
              <w:rPr>
                <w:rFonts w:asciiTheme="majorHAnsi" w:hAnsiTheme="majorHAnsi" w:cstheme="majorHAnsi"/>
                <w:sz w:val="18"/>
                <w:szCs w:val="18"/>
              </w:rPr>
              <w:t>decyzji o udzieleniu pozwolenia na</w:t>
            </w:r>
            <w:r>
              <w:rPr>
                <w:rFonts w:asciiTheme="majorHAnsi" w:hAnsiTheme="majorHAnsi" w:cstheme="majorHAnsi"/>
                <w:sz w:val="18"/>
                <w:szCs w:val="18"/>
              </w:rPr>
              <w:t> </w:t>
            </w:r>
            <w:r w:rsidRPr="00D662A6">
              <w:rPr>
                <w:rFonts w:asciiTheme="majorHAnsi" w:hAnsiTheme="majorHAnsi" w:cstheme="majorHAnsi"/>
                <w:sz w:val="18"/>
                <w:szCs w:val="18"/>
              </w:rPr>
              <w:t xml:space="preserve">dopuszczenie do obrotu </w:t>
            </w:r>
            <w:r>
              <w:rPr>
                <w:rFonts w:asciiTheme="majorHAnsi" w:hAnsiTheme="majorHAnsi" w:cstheme="majorHAnsi"/>
                <w:sz w:val="18"/>
                <w:szCs w:val="18"/>
              </w:rPr>
              <w:t xml:space="preserve">opracowywanego przez Spółkę weterynaryjnego </w:t>
            </w:r>
            <w:r w:rsidRPr="00D662A6">
              <w:rPr>
                <w:rFonts w:asciiTheme="majorHAnsi" w:hAnsiTheme="majorHAnsi" w:cstheme="majorHAnsi"/>
                <w:sz w:val="18"/>
                <w:szCs w:val="18"/>
              </w:rPr>
              <w:t>produktu leczniczego BCX</w:t>
            </w:r>
            <w:r>
              <w:rPr>
                <w:rFonts w:asciiTheme="majorHAnsi" w:hAnsiTheme="majorHAnsi" w:cstheme="majorHAnsi"/>
                <w:sz w:val="18"/>
                <w:szCs w:val="18"/>
              </w:rPr>
              <w:noBreakHyphen/>
            </w:r>
            <w:r w:rsidRPr="00D662A6">
              <w:rPr>
                <w:rFonts w:asciiTheme="majorHAnsi" w:hAnsiTheme="majorHAnsi" w:cstheme="majorHAnsi"/>
                <w:sz w:val="18"/>
                <w:szCs w:val="18"/>
              </w:rPr>
              <w:t>CM-J</w:t>
            </w:r>
            <w:r>
              <w:rPr>
                <w:rFonts w:asciiTheme="majorHAnsi" w:hAnsiTheme="majorHAnsi" w:cstheme="majorHAnsi"/>
                <w:sz w:val="18"/>
                <w:szCs w:val="18"/>
              </w:rPr>
              <w:t xml:space="preserve"> przeznaczonego do </w:t>
            </w:r>
            <w:r w:rsidRPr="008E44C7">
              <w:rPr>
                <w:rFonts w:asciiTheme="majorHAnsi" w:hAnsiTheme="majorHAnsi" w:cstheme="majorHAnsi"/>
                <w:sz w:val="18"/>
                <w:szCs w:val="18"/>
              </w:rPr>
              <w:t>stosowan</w:t>
            </w:r>
            <w:r>
              <w:rPr>
                <w:rFonts w:asciiTheme="majorHAnsi" w:hAnsiTheme="majorHAnsi" w:cstheme="majorHAnsi"/>
                <w:sz w:val="18"/>
                <w:szCs w:val="18"/>
              </w:rPr>
              <w:t>ia</w:t>
            </w:r>
            <w:r w:rsidRPr="008E44C7">
              <w:rPr>
                <w:rFonts w:asciiTheme="majorHAnsi" w:hAnsiTheme="majorHAnsi" w:cstheme="majorHAnsi"/>
                <w:sz w:val="18"/>
                <w:szCs w:val="18"/>
              </w:rPr>
              <w:t xml:space="preserve"> w leczeniu </w:t>
            </w:r>
            <w:proofErr w:type="spellStart"/>
            <w:r w:rsidRPr="008E44C7">
              <w:rPr>
                <w:rFonts w:asciiTheme="majorHAnsi" w:hAnsiTheme="majorHAnsi" w:cstheme="majorHAnsi"/>
                <w:sz w:val="18"/>
                <w:szCs w:val="18"/>
              </w:rPr>
              <w:t>osteoartrozy</w:t>
            </w:r>
            <w:proofErr w:type="spellEnd"/>
            <w:r w:rsidRPr="008E44C7">
              <w:rPr>
                <w:rFonts w:asciiTheme="majorHAnsi" w:hAnsiTheme="majorHAnsi" w:cstheme="majorHAnsi"/>
                <w:sz w:val="18"/>
                <w:szCs w:val="18"/>
              </w:rPr>
              <w:t xml:space="preserve"> u psów</w:t>
            </w:r>
            <w:r>
              <w:rPr>
                <w:rFonts w:asciiTheme="majorHAnsi" w:hAnsiTheme="majorHAnsi" w:cstheme="majorHAnsi"/>
                <w:sz w:val="18"/>
                <w:szCs w:val="18"/>
              </w:rPr>
              <w:t>;</w:t>
            </w:r>
          </w:p>
        </w:tc>
      </w:tr>
      <w:tr w:rsidR="006A1004" w:rsidRPr="00A11268" w14:paraId="090EAF9E" w14:textId="77777777" w:rsidTr="0063484D">
        <w:tc>
          <w:tcPr>
            <w:tcW w:w="4389" w:type="dxa"/>
          </w:tcPr>
          <w:p w14:paraId="42B1E7B8"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Pr>
                <w:rFonts w:asciiTheme="majorHAnsi" w:hAnsiTheme="majorHAnsi" w:cstheme="majorHAnsi"/>
                <w:sz w:val="18"/>
                <w:szCs w:val="18"/>
              </w:rPr>
              <w:t>„</w:t>
            </w:r>
            <w:r>
              <w:rPr>
                <w:rFonts w:asciiTheme="majorHAnsi" w:hAnsiTheme="majorHAnsi" w:cstheme="majorHAnsi"/>
                <w:b/>
                <w:bCs/>
                <w:sz w:val="18"/>
                <w:szCs w:val="18"/>
              </w:rPr>
              <w:t>Cel BCX-EM</w:t>
            </w:r>
            <w:r>
              <w:rPr>
                <w:rFonts w:asciiTheme="majorHAnsi" w:hAnsiTheme="majorHAnsi" w:cstheme="majorHAnsi"/>
                <w:sz w:val="18"/>
                <w:szCs w:val="18"/>
              </w:rPr>
              <w:t>”</w:t>
            </w:r>
          </w:p>
        </w:tc>
        <w:tc>
          <w:tcPr>
            <w:tcW w:w="5109" w:type="dxa"/>
          </w:tcPr>
          <w:p w14:paraId="3E1364CC"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w:t>
            </w:r>
            <w:r>
              <w:rPr>
                <w:rFonts w:asciiTheme="majorHAnsi" w:hAnsiTheme="majorHAnsi" w:cstheme="majorHAnsi"/>
                <w:sz w:val="18"/>
                <w:szCs w:val="18"/>
              </w:rPr>
              <w:t xml:space="preserve"> wydanie przez Komisję Europejską </w:t>
            </w:r>
            <w:r w:rsidRPr="00A11268">
              <w:rPr>
                <w:rFonts w:asciiTheme="majorHAnsi" w:hAnsiTheme="majorHAnsi" w:cstheme="majorHAnsi"/>
                <w:sz w:val="18"/>
                <w:szCs w:val="18"/>
              </w:rPr>
              <w:t xml:space="preserve">– nie później niż </w:t>
            </w:r>
            <w:r>
              <w:rPr>
                <w:rFonts w:asciiTheme="majorHAnsi" w:hAnsiTheme="majorHAnsi" w:cstheme="majorHAnsi"/>
                <w:sz w:val="18"/>
                <w:szCs w:val="18"/>
              </w:rPr>
              <w:t>do dnia</w:t>
            </w:r>
            <w:r w:rsidRPr="00A11268">
              <w:rPr>
                <w:rFonts w:asciiTheme="majorHAnsi" w:hAnsiTheme="majorHAnsi" w:cstheme="majorHAnsi"/>
                <w:sz w:val="18"/>
                <w:szCs w:val="18"/>
              </w:rPr>
              <w:t xml:space="preserve"> </w:t>
            </w:r>
            <w:r>
              <w:rPr>
                <w:rFonts w:asciiTheme="majorHAnsi" w:hAnsiTheme="majorHAnsi" w:cstheme="majorHAnsi"/>
                <w:sz w:val="18"/>
                <w:szCs w:val="18"/>
              </w:rPr>
              <w:t xml:space="preserve">31 grudnia 2028 </w:t>
            </w:r>
            <w:r w:rsidRPr="00A11268">
              <w:rPr>
                <w:rFonts w:asciiTheme="majorHAnsi" w:hAnsiTheme="majorHAnsi" w:cstheme="majorHAnsi"/>
                <w:sz w:val="18"/>
                <w:szCs w:val="18"/>
              </w:rPr>
              <w:t xml:space="preserve">r. (włącznie) – </w:t>
            </w:r>
            <w:r w:rsidRPr="00D662A6">
              <w:rPr>
                <w:rFonts w:asciiTheme="majorHAnsi" w:hAnsiTheme="majorHAnsi" w:cstheme="majorHAnsi"/>
                <w:sz w:val="18"/>
                <w:szCs w:val="18"/>
              </w:rPr>
              <w:t>decyzji o udzieleniu pozwolenia na</w:t>
            </w:r>
            <w:r>
              <w:rPr>
                <w:rFonts w:asciiTheme="majorHAnsi" w:hAnsiTheme="majorHAnsi" w:cstheme="majorHAnsi"/>
                <w:sz w:val="18"/>
                <w:szCs w:val="18"/>
              </w:rPr>
              <w:t> </w:t>
            </w:r>
            <w:r w:rsidRPr="00D662A6">
              <w:rPr>
                <w:rFonts w:asciiTheme="majorHAnsi" w:hAnsiTheme="majorHAnsi" w:cstheme="majorHAnsi"/>
                <w:sz w:val="18"/>
                <w:szCs w:val="18"/>
              </w:rPr>
              <w:t xml:space="preserve">dopuszczenie do obrotu </w:t>
            </w:r>
            <w:r>
              <w:rPr>
                <w:rFonts w:asciiTheme="majorHAnsi" w:hAnsiTheme="majorHAnsi" w:cstheme="majorHAnsi"/>
                <w:sz w:val="18"/>
                <w:szCs w:val="18"/>
              </w:rPr>
              <w:t xml:space="preserve">opracowywanego przez Spółkę weterynaryjnego </w:t>
            </w:r>
            <w:r w:rsidRPr="00D662A6">
              <w:rPr>
                <w:rFonts w:asciiTheme="majorHAnsi" w:hAnsiTheme="majorHAnsi" w:cstheme="majorHAnsi"/>
                <w:sz w:val="18"/>
                <w:szCs w:val="18"/>
              </w:rPr>
              <w:t>produktu leczniczego BCX</w:t>
            </w:r>
            <w:r>
              <w:rPr>
                <w:rFonts w:asciiTheme="majorHAnsi" w:hAnsiTheme="majorHAnsi" w:cstheme="majorHAnsi"/>
                <w:sz w:val="18"/>
                <w:szCs w:val="18"/>
              </w:rPr>
              <w:noBreakHyphen/>
              <w:t>EM przeznaczonego do </w:t>
            </w:r>
            <w:r w:rsidRPr="008E44C7">
              <w:rPr>
                <w:rFonts w:asciiTheme="majorHAnsi" w:hAnsiTheme="majorHAnsi" w:cstheme="majorHAnsi"/>
                <w:sz w:val="18"/>
                <w:szCs w:val="18"/>
              </w:rPr>
              <w:t>stosowan</w:t>
            </w:r>
            <w:r>
              <w:rPr>
                <w:rFonts w:asciiTheme="majorHAnsi" w:hAnsiTheme="majorHAnsi" w:cstheme="majorHAnsi"/>
                <w:sz w:val="18"/>
                <w:szCs w:val="18"/>
              </w:rPr>
              <w:t>ia</w:t>
            </w:r>
            <w:r w:rsidRPr="008E44C7">
              <w:rPr>
                <w:rFonts w:asciiTheme="majorHAnsi" w:hAnsiTheme="majorHAnsi" w:cstheme="majorHAnsi"/>
                <w:sz w:val="18"/>
                <w:szCs w:val="18"/>
              </w:rPr>
              <w:t xml:space="preserve"> w leczeniu zapalenia stawów u koni</w:t>
            </w:r>
            <w:r>
              <w:rPr>
                <w:rFonts w:asciiTheme="majorHAnsi" w:hAnsiTheme="majorHAnsi" w:cstheme="majorHAnsi"/>
                <w:sz w:val="18"/>
                <w:szCs w:val="18"/>
              </w:rPr>
              <w:t>;</w:t>
            </w:r>
          </w:p>
        </w:tc>
      </w:tr>
      <w:tr w:rsidR="006A1004" w:rsidRPr="00A11268" w14:paraId="53B98724" w14:textId="77777777" w:rsidTr="0063484D">
        <w:tc>
          <w:tcPr>
            <w:tcW w:w="4389" w:type="dxa"/>
          </w:tcPr>
          <w:p w14:paraId="1373FB25"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Pr>
                <w:rFonts w:asciiTheme="majorHAnsi" w:hAnsiTheme="majorHAnsi" w:cstheme="majorHAnsi"/>
                <w:sz w:val="18"/>
                <w:szCs w:val="18"/>
              </w:rPr>
              <w:t>„</w:t>
            </w:r>
            <w:r>
              <w:rPr>
                <w:rFonts w:asciiTheme="majorHAnsi" w:hAnsiTheme="majorHAnsi" w:cstheme="majorHAnsi"/>
                <w:b/>
                <w:bCs/>
                <w:sz w:val="18"/>
                <w:szCs w:val="18"/>
              </w:rPr>
              <w:t>Cel Programu</w:t>
            </w:r>
            <w:r>
              <w:rPr>
                <w:rFonts w:asciiTheme="majorHAnsi" w:hAnsiTheme="majorHAnsi" w:cstheme="majorHAnsi"/>
                <w:sz w:val="18"/>
                <w:szCs w:val="18"/>
              </w:rPr>
              <w:t>”</w:t>
            </w:r>
          </w:p>
        </w:tc>
        <w:tc>
          <w:tcPr>
            <w:tcW w:w="5109" w:type="dxa"/>
          </w:tcPr>
          <w:p w14:paraId="63767D80" w14:textId="77777777" w:rsidR="006A1004" w:rsidRPr="00A11268" w:rsidRDefault="006A1004" w:rsidP="0063484D">
            <w:pPr>
              <w:spacing w:after="120" w:line="240" w:lineRule="auto"/>
              <w:ind w:left="30"/>
              <w:jc w:val="both"/>
              <w:rPr>
                <w:rFonts w:asciiTheme="majorHAnsi" w:hAnsiTheme="majorHAnsi" w:cstheme="majorHAnsi"/>
                <w:sz w:val="18"/>
                <w:szCs w:val="18"/>
              </w:rPr>
            </w:pPr>
            <w:r>
              <w:rPr>
                <w:rFonts w:asciiTheme="majorHAnsi" w:hAnsiTheme="majorHAnsi" w:cstheme="majorHAnsi"/>
                <w:sz w:val="18"/>
                <w:szCs w:val="18"/>
              </w:rPr>
              <w:t>oznacza odpowiednio Cel BCX-CM-AD, Cel BCX-CM-J lub Cel BCX</w:t>
            </w:r>
            <w:r>
              <w:rPr>
                <w:rFonts w:asciiTheme="majorHAnsi" w:hAnsiTheme="majorHAnsi" w:cstheme="majorHAnsi"/>
                <w:sz w:val="18"/>
                <w:szCs w:val="18"/>
              </w:rPr>
              <w:noBreakHyphen/>
              <w:t>EM;</w:t>
            </w:r>
          </w:p>
        </w:tc>
      </w:tr>
      <w:tr w:rsidR="006A1004" w:rsidRPr="00A11268" w14:paraId="17CC954F" w14:textId="77777777" w:rsidTr="0063484D">
        <w:tc>
          <w:tcPr>
            <w:tcW w:w="4389" w:type="dxa"/>
          </w:tcPr>
          <w:p w14:paraId="0F8262A6"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Dzień Roboczy</w:t>
            </w:r>
            <w:r w:rsidRPr="00A11268">
              <w:rPr>
                <w:rFonts w:asciiTheme="majorHAnsi" w:hAnsiTheme="majorHAnsi" w:cstheme="majorHAnsi"/>
                <w:sz w:val="18"/>
                <w:szCs w:val="18"/>
              </w:rPr>
              <w:t>”</w:t>
            </w:r>
          </w:p>
        </w:tc>
        <w:tc>
          <w:tcPr>
            <w:tcW w:w="5109" w:type="dxa"/>
          </w:tcPr>
          <w:p w14:paraId="180F235E"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w:t>
            </w:r>
            <w:r w:rsidRPr="00A11268">
              <w:rPr>
                <w:rFonts w:asciiTheme="majorHAnsi" w:hAnsiTheme="majorHAnsi" w:cstheme="majorHAnsi"/>
                <w:bCs/>
                <w:sz w:val="18"/>
                <w:szCs w:val="18"/>
              </w:rPr>
              <w:t>każdy dzień inny niż sobota, niedziela lub dzień ustawowo wolny od pracy w Rzeczypospolitej Polskiej;</w:t>
            </w:r>
          </w:p>
        </w:tc>
      </w:tr>
      <w:tr w:rsidR="006A1004" w:rsidRPr="00A11268" w14:paraId="23CF36B1" w14:textId="77777777" w:rsidTr="0063484D">
        <w:tc>
          <w:tcPr>
            <w:tcW w:w="4389" w:type="dxa"/>
          </w:tcPr>
          <w:p w14:paraId="1E88A81B"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bCs/>
                <w:sz w:val="18"/>
                <w:szCs w:val="18"/>
              </w:rPr>
              <w:t>Dzień Spełnienia Kryterium Lojalnościowego</w:t>
            </w:r>
            <w:r w:rsidRPr="00A11268">
              <w:rPr>
                <w:rFonts w:asciiTheme="majorHAnsi" w:hAnsiTheme="majorHAnsi" w:cstheme="majorHAnsi"/>
                <w:sz w:val="18"/>
                <w:szCs w:val="18"/>
              </w:rPr>
              <w:t>”</w:t>
            </w:r>
          </w:p>
        </w:tc>
        <w:tc>
          <w:tcPr>
            <w:tcW w:w="5109" w:type="dxa"/>
          </w:tcPr>
          <w:p w14:paraId="7BA5D452"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ostatni dzień okresu 6 (sześciu) miesięcy od dnia osiągnięcia </w:t>
            </w:r>
            <w:r>
              <w:rPr>
                <w:rFonts w:asciiTheme="majorHAnsi" w:hAnsiTheme="majorHAnsi" w:cstheme="majorHAnsi"/>
                <w:sz w:val="18"/>
                <w:szCs w:val="18"/>
              </w:rPr>
              <w:t xml:space="preserve">danego </w:t>
            </w:r>
            <w:r w:rsidRPr="00A11268">
              <w:rPr>
                <w:rFonts w:asciiTheme="majorHAnsi" w:hAnsiTheme="majorHAnsi" w:cstheme="majorHAnsi"/>
                <w:sz w:val="18"/>
                <w:szCs w:val="18"/>
              </w:rPr>
              <w:t>Celu Programu;</w:t>
            </w:r>
          </w:p>
        </w:tc>
      </w:tr>
      <w:tr w:rsidR="006A1004" w:rsidRPr="00A11268" w14:paraId="2CCCC281" w14:textId="77777777" w:rsidTr="0063484D">
        <w:tc>
          <w:tcPr>
            <w:tcW w:w="4389" w:type="dxa"/>
          </w:tcPr>
          <w:p w14:paraId="5F71E32A"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Kryterium Dodatkowe</w:t>
            </w:r>
            <w:r w:rsidRPr="00A11268">
              <w:rPr>
                <w:rFonts w:asciiTheme="majorHAnsi" w:hAnsiTheme="majorHAnsi" w:cstheme="majorHAnsi"/>
                <w:sz w:val="18"/>
                <w:szCs w:val="18"/>
              </w:rPr>
              <w:t>”</w:t>
            </w:r>
          </w:p>
        </w:tc>
        <w:tc>
          <w:tcPr>
            <w:tcW w:w="5109" w:type="dxa"/>
          </w:tcPr>
          <w:p w14:paraId="2F24AB4F"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ma znaczenie nadane w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_Ref101444910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4</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_Ref125445767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2</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01309605" w14:textId="77777777" w:rsidTr="0063484D">
        <w:tc>
          <w:tcPr>
            <w:tcW w:w="4389" w:type="dxa"/>
          </w:tcPr>
          <w:p w14:paraId="464E894F"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Kryterium Lojalnościowe</w:t>
            </w:r>
            <w:r w:rsidRPr="00A11268">
              <w:rPr>
                <w:rFonts w:asciiTheme="majorHAnsi" w:hAnsiTheme="majorHAnsi" w:cstheme="majorHAnsi"/>
                <w:sz w:val="18"/>
                <w:szCs w:val="18"/>
              </w:rPr>
              <w:t>”</w:t>
            </w:r>
          </w:p>
        </w:tc>
        <w:tc>
          <w:tcPr>
            <w:tcW w:w="5109" w:type="dxa"/>
          </w:tcPr>
          <w:p w14:paraId="4DF66940"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pozostawanie przez Uczestnika w Stosunku Zatrudnienia ze</w:t>
            </w:r>
            <w:r>
              <w:rPr>
                <w:rFonts w:asciiTheme="majorHAnsi" w:hAnsiTheme="majorHAnsi" w:cstheme="majorHAnsi"/>
                <w:sz w:val="18"/>
                <w:szCs w:val="18"/>
              </w:rPr>
              <w:t> </w:t>
            </w:r>
            <w:r w:rsidRPr="00A11268">
              <w:rPr>
                <w:rFonts w:asciiTheme="majorHAnsi" w:hAnsiTheme="majorHAnsi" w:cstheme="majorHAnsi"/>
                <w:sz w:val="18"/>
                <w:szCs w:val="18"/>
              </w:rPr>
              <w:t xml:space="preserve">Spółką nieprzerwanie </w:t>
            </w:r>
            <w:r w:rsidRPr="00A11268">
              <w:rPr>
                <w:rFonts w:asciiTheme="majorHAnsi" w:eastAsia="Times New Roman" w:hAnsiTheme="majorHAnsi" w:cstheme="majorHAnsi"/>
                <w:sz w:val="18"/>
                <w:szCs w:val="18"/>
              </w:rPr>
              <w:t>od dnia zawarcia Umowy Uczestnictwa do</w:t>
            </w:r>
            <w:r>
              <w:rPr>
                <w:rFonts w:asciiTheme="majorHAnsi" w:eastAsia="Times New Roman" w:hAnsiTheme="majorHAnsi" w:cstheme="majorHAnsi"/>
                <w:sz w:val="18"/>
                <w:szCs w:val="18"/>
              </w:rPr>
              <w:t> </w:t>
            </w:r>
            <w:r w:rsidRPr="00A11268">
              <w:rPr>
                <w:rFonts w:asciiTheme="majorHAnsi" w:eastAsia="Times New Roman" w:hAnsiTheme="majorHAnsi" w:cstheme="majorHAnsi"/>
                <w:sz w:val="18"/>
                <w:szCs w:val="18"/>
              </w:rPr>
              <w:t xml:space="preserve">Dnia Spełnienia Kryterium Lojalnościowego, przy czym zmiana formy lub treści Stosunku Zatrudnienia nie stanowi przerwania </w:t>
            </w:r>
            <w:r w:rsidRPr="00A11268">
              <w:rPr>
                <w:rFonts w:asciiTheme="majorHAnsi" w:eastAsia="Times New Roman" w:hAnsiTheme="majorHAnsi" w:cstheme="majorHAnsi"/>
                <w:sz w:val="18"/>
                <w:szCs w:val="18"/>
              </w:rPr>
              <w:lastRenderedPageBreak/>
              <w:t>Stosunku Zatrudnienia, o ile zachowana zostaje ciągłość Stosunku Zatrudnienia;</w:t>
            </w:r>
          </w:p>
        </w:tc>
      </w:tr>
      <w:tr w:rsidR="006A1004" w:rsidRPr="00A11268" w14:paraId="170ADD50" w14:textId="77777777" w:rsidTr="0063484D">
        <w:tc>
          <w:tcPr>
            <w:tcW w:w="4389" w:type="dxa"/>
          </w:tcPr>
          <w:p w14:paraId="3FF7E228"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lastRenderedPageBreak/>
              <w:t>„</w:t>
            </w:r>
            <w:r w:rsidRPr="00A11268">
              <w:rPr>
                <w:rFonts w:asciiTheme="majorHAnsi" w:hAnsiTheme="majorHAnsi" w:cstheme="majorHAnsi"/>
                <w:b/>
                <w:sz w:val="18"/>
                <w:szCs w:val="18"/>
              </w:rPr>
              <w:t>Oferta</w:t>
            </w:r>
            <w:r w:rsidRPr="00A11268">
              <w:rPr>
                <w:rFonts w:asciiTheme="majorHAnsi" w:hAnsiTheme="majorHAnsi" w:cstheme="majorHAnsi"/>
                <w:sz w:val="18"/>
                <w:szCs w:val="18"/>
              </w:rPr>
              <w:t>”</w:t>
            </w:r>
          </w:p>
        </w:tc>
        <w:tc>
          <w:tcPr>
            <w:tcW w:w="5109" w:type="dxa"/>
          </w:tcPr>
          <w:p w14:paraId="23ABF60C"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ma znaczenie nadane w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_Ref125445888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6</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_Ref125445899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1</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0EFE8F5D" w14:textId="77777777" w:rsidTr="0063484D">
        <w:tc>
          <w:tcPr>
            <w:tcW w:w="4389" w:type="dxa"/>
          </w:tcPr>
          <w:p w14:paraId="16D90D52"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Osoba Uprawniona</w:t>
            </w:r>
            <w:r w:rsidRPr="00A11268">
              <w:rPr>
                <w:rFonts w:asciiTheme="majorHAnsi" w:hAnsiTheme="majorHAnsi" w:cstheme="majorHAnsi"/>
                <w:sz w:val="18"/>
                <w:szCs w:val="18"/>
              </w:rPr>
              <w:t>”</w:t>
            </w:r>
          </w:p>
        </w:tc>
        <w:tc>
          <w:tcPr>
            <w:tcW w:w="5109" w:type="dxa"/>
          </w:tcPr>
          <w:p w14:paraId="1FE0D2AA"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w:t>
            </w:r>
            <w:r>
              <w:rPr>
                <w:rFonts w:asciiTheme="majorHAnsi" w:hAnsiTheme="majorHAnsi" w:cstheme="majorHAnsi"/>
                <w:sz w:val="18"/>
                <w:szCs w:val="18"/>
              </w:rPr>
              <w:t xml:space="preserve">niebędącą członkiem Zarządu lub Rady Nadzorczej </w:t>
            </w:r>
            <w:r w:rsidRPr="00A11268">
              <w:rPr>
                <w:rFonts w:asciiTheme="majorHAnsi" w:hAnsiTheme="majorHAnsi" w:cstheme="majorHAnsi"/>
                <w:sz w:val="18"/>
                <w:szCs w:val="18"/>
              </w:rPr>
              <w:t>osob</w:t>
            </w:r>
            <w:r>
              <w:rPr>
                <w:rFonts w:asciiTheme="majorHAnsi" w:hAnsiTheme="majorHAnsi" w:cstheme="majorHAnsi"/>
                <w:sz w:val="18"/>
                <w:szCs w:val="18"/>
              </w:rPr>
              <w:t>ę</w:t>
            </w:r>
            <w:r w:rsidRPr="00A11268">
              <w:rPr>
                <w:rFonts w:asciiTheme="majorHAnsi" w:hAnsiTheme="majorHAnsi" w:cstheme="majorHAnsi"/>
                <w:sz w:val="18"/>
                <w:szCs w:val="18"/>
              </w:rPr>
              <w:t xml:space="preserve"> pozostając</w:t>
            </w:r>
            <w:r>
              <w:rPr>
                <w:rFonts w:asciiTheme="majorHAnsi" w:hAnsiTheme="majorHAnsi" w:cstheme="majorHAnsi"/>
                <w:sz w:val="18"/>
                <w:szCs w:val="18"/>
              </w:rPr>
              <w:t>ą</w:t>
            </w:r>
            <w:r w:rsidRPr="00A11268">
              <w:rPr>
                <w:rFonts w:asciiTheme="majorHAnsi" w:hAnsiTheme="majorHAnsi" w:cstheme="majorHAnsi"/>
                <w:sz w:val="18"/>
                <w:szCs w:val="18"/>
              </w:rPr>
              <w:t xml:space="preserve"> w</w:t>
            </w:r>
            <w:r>
              <w:rPr>
                <w:rFonts w:asciiTheme="majorHAnsi" w:hAnsiTheme="majorHAnsi" w:cstheme="majorHAnsi"/>
                <w:sz w:val="18"/>
                <w:szCs w:val="18"/>
              </w:rPr>
              <w:t> </w:t>
            </w:r>
            <w:r w:rsidRPr="00A11268">
              <w:rPr>
                <w:rFonts w:asciiTheme="majorHAnsi" w:hAnsiTheme="majorHAnsi" w:cstheme="majorHAnsi"/>
                <w:sz w:val="18"/>
                <w:szCs w:val="18"/>
              </w:rPr>
              <w:t>Stosunku Zatrudnienia ze Spółką;</w:t>
            </w:r>
          </w:p>
        </w:tc>
      </w:tr>
      <w:tr w:rsidR="006A1004" w:rsidRPr="00A11268" w14:paraId="2ABD5110" w14:textId="77777777" w:rsidTr="0063484D">
        <w:tc>
          <w:tcPr>
            <w:tcW w:w="4389" w:type="dxa"/>
          </w:tcPr>
          <w:p w14:paraId="56CEA0D3"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Program Motywacyjny</w:t>
            </w:r>
            <w:r w:rsidRPr="00A11268">
              <w:rPr>
                <w:rFonts w:asciiTheme="majorHAnsi" w:hAnsiTheme="majorHAnsi" w:cstheme="majorHAnsi"/>
                <w:sz w:val="18"/>
                <w:szCs w:val="18"/>
              </w:rPr>
              <w:t>”</w:t>
            </w:r>
          </w:p>
        </w:tc>
        <w:tc>
          <w:tcPr>
            <w:tcW w:w="5109" w:type="dxa"/>
          </w:tcPr>
          <w:p w14:paraId="4FFCA7C7"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program motywacyjny w rozumieniu art. 24 ust. 11 pkt 1) i</w:t>
            </w:r>
            <w:r>
              <w:rPr>
                <w:rFonts w:asciiTheme="majorHAnsi" w:hAnsiTheme="majorHAnsi" w:cstheme="majorHAnsi"/>
                <w:sz w:val="18"/>
                <w:szCs w:val="18"/>
              </w:rPr>
              <w:t> </w:t>
            </w:r>
            <w:r w:rsidRPr="00A11268">
              <w:rPr>
                <w:rFonts w:asciiTheme="majorHAnsi" w:hAnsiTheme="majorHAnsi" w:cstheme="majorHAnsi"/>
                <w:sz w:val="18"/>
                <w:szCs w:val="18"/>
              </w:rPr>
              <w:t>2) Ustawy o PIT, ustanawiany w Spółce na podstawie niniejszej uchwały;</w:t>
            </w:r>
          </w:p>
        </w:tc>
      </w:tr>
      <w:tr w:rsidR="006A1004" w:rsidRPr="00A11268" w14:paraId="75D31ED6" w14:textId="77777777" w:rsidTr="0063484D">
        <w:tc>
          <w:tcPr>
            <w:tcW w:w="4389" w:type="dxa"/>
          </w:tcPr>
          <w:p w14:paraId="3BDBAF80"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Przesłanki Wykonania Uprawnień</w:t>
            </w:r>
            <w:r w:rsidRPr="00A11268">
              <w:rPr>
                <w:rFonts w:asciiTheme="majorHAnsi" w:hAnsiTheme="majorHAnsi" w:cstheme="majorHAnsi"/>
                <w:sz w:val="18"/>
                <w:szCs w:val="18"/>
              </w:rPr>
              <w:t>”</w:t>
            </w:r>
          </w:p>
        </w:tc>
        <w:tc>
          <w:tcPr>
            <w:tcW w:w="5109" w:type="dxa"/>
          </w:tcPr>
          <w:p w14:paraId="75E88F6C"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w:t>
            </w:r>
            <w:r>
              <w:rPr>
                <w:rFonts w:asciiTheme="majorHAnsi" w:hAnsiTheme="majorHAnsi" w:cstheme="majorHAnsi"/>
                <w:sz w:val="18"/>
                <w:szCs w:val="18"/>
              </w:rPr>
              <w:t xml:space="preserve">odpowiednio: (i) w odniesieniu do Uprawnień BCX-CM-AD – </w:t>
            </w:r>
            <w:r w:rsidRPr="00F213E2">
              <w:rPr>
                <w:rFonts w:asciiTheme="majorHAnsi" w:hAnsiTheme="majorHAnsi" w:cstheme="majorHAnsi"/>
                <w:sz w:val="18"/>
                <w:szCs w:val="18"/>
              </w:rPr>
              <w:t>Przesłanki Wykonania Uprawnień BCX</w:t>
            </w:r>
            <w:r w:rsidRPr="00F213E2">
              <w:rPr>
                <w:rFonts w:asciiTheme="majorHAnsi" w:hAnsiTheme="majorHAnsi" w:cstheme="majorHAnsi"/>
                <w:sz w:val="18"/>
                <w:szCs w:val="18"/>
              </w:rPr>
              <w:noBreakHyphen/>
              <w:t>CM</w:t>
            </w:r>
            <w:r w:rsidRPr="00F213E2">
              <w:rPr>
                <w:rFonts w:asciiTheme="majorHAnsi" w:hAnsiTheme="majorHAnsi" w:cstheme="majorHAnsi"/>
                <w:sz w:val="18"/>
                <w:szCs w:val="18"/>
              </w:rPr>
              <w:noBreakHyphen/>
              <w:t>AD</w:t>
            </w:r>
            <w:r>
              <w:rPr>
                <w:rFonts w:asciiTheme="majorHAnsi" w:hAnsiTheme="majorHAnsi" w:cstheme="majorHAnsi"/>
                <w:sz w:val="18"/>
                <w:szCs w:val="18"/>
              </w:rPr>
              <w:t xml:space="preserve">, (ii) w odniesieniu do Uprawnień BCX-CM-J – </w:t>
            </w:r>
            <w:r w:rsidRPr="000A46FB">
              <w:rPr>
                <w:rFonts w:asciiTheme="majorHAnsi" w:hAnsiTheme="majorHAnsi" w:cstheme="majorHAnsi"/>
                <w:sz w:val="18"/>
                <w:szCs w:val="18"/>
              </w:rPr>
              <w:t>Przesłanki Wykonania Uprawnień BCX</w:t>
            </w:r>
            <w:r w:rsidRPr="000A46FB">
              <w:rPr>
                <w:rFonts w:asciiTheme="majorHAnsi" w:hAnsiTheme="majorHAnsi" w:cstheme="majorHAnsi"/>
                <w:sz w:val="18"/>
                <w:szCs w:val="18"/>
              </w:rPr>
              <w:noBreakHyphen/>
              <w:t>CM</w:t>
            </w:r>
            <w:r w:rsidRPr="000A46FB">
              <w:rPr>
                <w:rFonts w:asciiTheme="majorHAnsi" w:hAnsiTheme="majorHAnsi" w:cstheme="majorHAnsi"/>
                <w:sz w:val="18"/>
                <w:szCs w:val="18"/>
              </w:rPr>
              <w:noBreakHyphen/>
            </w:r>
            <w:r>
              <w:rPr>
                <w:rFonts w:asciiTheme="majorHAnsi" w:hAnsiTheme="majorHAnsi" w:cstheme="majorHAnsi"/>
                <w:sz w:val="18"/>
                <w:szCs w:val="18"/>
              </w:rPr>
              <w:t xml:space="preserve">J, a (iii) w odniesieniu do Uprawnień BCX-EM – </w:t>
            </w:r>
            <w:r w:rsidRPr="000A46FB">
              <w:rPr>
                <w:rFonts w:asciiTheme="majorHAnsi" w:hAnsiTheme="majorHAnsi" w:cstheme="majorHAnsi"/>
                <w:sz w:val="18"/>
                <w:szCs w:val="18"/>
              </w:rPr>
              <w:t>Przesłanki Wykonania Uprawnień BCX</w:t>
            </w:r>
            <w:r w:rsidRPr="000A46FB">
              <w:rPr>
                <w:rFonts w:asciiTheme="majorHAnsi" w:hAnsiTheme="majorHAnsi" w:cstheme="majorHAnsi"/>
                <w:sz w:val="18"/>
                <w:szCs w:val="18"/>
              </w:rPr>
              <w:noBreakHyphen/>
            </w:r>
            <w:r>
              <w:rPr>
                <w:rFonts w:asciiTheme="majorHAnsi" w:hAnsiTheme="majorHAnsi" w:cstheme="majorHAnsi"/>
                <w:sz w:val="18"/>
                <w:szCs w:val="18"/>
              </w:rPr>
              <w:t>EM</w:t>
            </w:r>
            <w:r w:rsidRPr="00A11268">
              <w:rPr>
                <w:rFonts w:asciiTheme="majorHAnsi" w:hAnsiTheme="majorHAnsi" w:cstheme="majorHAnsi"/>
                <w:sz w:val="18"/>
                <w:szCs w:val="18"/>
              </w:rPr>
              <w:t>;</w:t>
            </w:r>
          </w:p>
        </w:tc>
      </w:tr>
      <w:tr w:rsidR="006A1004" w:rsidRPr="00A11268" w14:paraId="087EA7D2" w14:textId="77777777" w:rsidTr="0063484D">
        <w:tc>
          <w:tcPr>
            <w:tcW w:w="4389" w:type="dxa"/>
          </w:tcPr>
          <w:p w14:paraId="3F52FAA4" w14:textId="77777777" w:rsidR="006A1004" w:rsidRPr="00F213E2"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Pr>
                <w:rFonts w:asciiTheme="majorHAnsi" w:hAnsiTheme="majorHAnsi" w:cstheme="majorHAnsi"/>
                <w:sz w:val="18"/>
                <w:szCs w:val="18"/>
              </w:rPr>
              <w:t>„</w:t>
            </w:r>
            <w:r>
              <w:rPr>
                <w:rFonts w:asciiTheme="majorHAnsi" w:hAnsiTheme="majorHAnsi" w:cstheme="majorHAnsi"/>
                <w:b/>
                <w:bCs/>
                <w:sz w:val="18"/>
                <w:szCs w:val="18"/>
              </w:rPr>
              <w:t>Przesłanki Wykonania Uprawnień BCX</w:t>
            </w:r>
            <w:r>
              <w:rPr>
                <w:rFonts w:asciiTheme="majorHAnsi" w:hAnsiTheme="majorHAnsi" w:cstheme="majorHAnsi"/>
                <w:b/>
                <w:bCs/>
                <w:sz w:val="18"/>
                <w:szCs w:val="18"/>
              </w:rPr>
              <w:noBreakHyphen/>
              <w:t>CM</w:t>
            </w:r>
            <w:r>
              <w:rPr>
                <w:rFonts w:asciiTheme="majorHAnsi" w:hAnsiTheme="majorHAnsi" w:cstheme="majorHAnsi"/>
                <w:b/>
                <w:bCs/>
                <w:sz w:val="18"/>
                <w:szCs w:val="18"/>
              </w:rPr>
              <w:noBreakHyphen/>
              <w:t>AD</w:t>
            </w:r>
            <w:r>
              <w:rPr>
                <w:rFonts w:asciiTheme="majorHAnsi" w:hAnsiTheme="majorHAnsi" w:cstheme="majorHAnsi"/>
                <w:sz w:val="18"/>
                <w:szCs w:val="18"/>
              </w:rPr>
              <w:t>”</w:t>
            </w:r>
          </w:p>
        </w:tc>
        <w:tc>
          <w:tcPr>
            <w:tcW w:w="5109" w:type="dxa"/>
          </w:tcPr>
          <w:p w14:paraId="6D664C01"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łącznie osiągnięcie Celu </w:t>
            </w:r>
            <w:r>
              <w:rPr>
                <w:rFonts w:asciiTheme="majorHAnsi" w:hAnsiTheme="majorHAnsi" w:cstheme="majorHAnsi"/>
                <w:sz w:val="18"/>
                <w:szCs w:val="18"/>
              </w:rPr>
              <w:t>BCX-CM-AD</w:t>
            </w:r>
            <w:r w:rsidRPr="00A11268">
              <w:rPr>
                <w:rFonts w:asciiTheme="majorHAnsi" w:hAnsiTheme="majorHAnsi" w:cstheme="majorHAnsi"/>
                <w:sz w:val="18"/>
                <w:szCs w:val="18"/>
              </w:rPr>
              <w:t xml:space="preserve"> i spełnienie przez danego Uczestnika Kryterium Lojalnościowego, a w przypadku jego wyznaczenia dla danego Uczestnika</w:t>
            </w:r>
            <w:r>
              <w:rPr>
                <w:rFonts w:asciiTheme="majorHAnsi" w:hAnsiTheme="majorHAnsi" w:cstheme="majorHAnsi"/>
                <w:sz w:val="18"/>
                <w:szCs w:val="18"/>
              </w:rPr>
              <w:t xml:space="preserve"> i w odniesieniu do Uprawnień BCX-CM-AD </w:t>
            </w:r>
            <w:r w:rsidRPr="00A11268">
              <w:rPr>
                <w:rFonts w:asciiTheme="majorHAnsi" w:hAnsiTheme="majorHAnsi" w:cstheme="majorHAnsi"/>
                <w:sz w:val="18"/>
                <w:szCs w:val="18"/>
              </w:rPr>
              <w:t>– także Kryterium Dodatkowego;</w:t>
            </w:r>
          </w:p>
        </w:tc>
      </w:tr>
      <w:tr w:rsidR="006A1004" w:rsidRPr="00A11268" w14:paraId="754C4BF9" w14:textId="77777777" w:rsidTr="0063484D">
        <w:tc>
          <w:tcPr>
            <w:tcW w:w="4389" w:type="dxa"/>
          </w:tcPr>
          <w:p w14:paraId="7DF8D4AA"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Pr>
                <w:rFonts w:asciiTheme="majorHAnsi" w:hAnsiTheme="majorHAnsi" w:cstheme="majorHAnsi"/>
                <w:sz w:val="18"/>
                <w:szCs w:val="18"/>
              </w:rPr>
              <w:t>„</w:t>
            </w:r>
            <w:r>
              <w:rPr>
                <w:rFonts w:asciiTheme="majorHAnsi" w:hAnsiTheme="majorHAnsi" w:cstheme="majorHAnsi"/>
                <w:b/>
                <w:bCs/>
                <w:sz w:val="18"/>
                <w:szCs w:val="18"/>
              </w:rPr>
              <w:t>Przesłanki Wykonania Uprawnień BCX</w:t>
            </w:r>
            <w:r>
              <w:rPr>
                <w:rFonts w:asciiTheme="majorHAnsi" w:hAnsiTheme="majorHAnsi" w:cstheme="majorHAnsi"/>
                <w:b/>
                <w:bCs/>
                <w:sz w:val="18"/>
                <w:szCs w:val="18"/>
              </w:rPr>
              <w:noBreakHyphen/>
              <w:t>CM</w:t>
            </w:r>
            <w:r>
              <w:rPr>
                <w:rFonts w:asciiTheme="majorHAnsi" w:hAnsiTheme="majorHAnsi" w:cstheme="majorHAnsi"/>
                <w:b/>
                <w:bCs/>
                <w:sz w:val="18"/>
                <w:szCs w:val="18"/>
              </w:rPr>
              <w:noBreakHyphen/>
              <w:t>J</w:t>
            </w:r>
            <w:r>
              <w:rPr>
                <w:rFonts w:asciiTheme="majorHAnsi" w:hAnsiTheme="majorHAnsi" w:cstheme="majorHAnsi"/>
                <w:sz w:val="18"/>
                <w:szCs w:val="18"/>
              </w:rPr>
              <w:t>”</w:t>
            </w:r>
          </w:p>
        </w:tc>
        <w:tc>
          <w:tcPr>
            <w:tcW w:w="5109" w:type="dxa"/>
          </w:tcPr>
          <w:p w14:paraId="4E03727F"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łącznie osiągnięcie Celu </w:t>
            </w:r>
            <w:r>
              <w:rPr>
                <w:rFonts w:asciiTheme="majorHAnsi" w:hAnsiTheme="majorHAnsi" w:cstheme="majorHAnsi"/>
                <w:sz w:val="18"/>
                <w:szCs w:val="18"/>
              </w:rPr>
              <w:t>BCX-CM-J</w:t>
            </w:r>
            <w:r w:rsidRPr="00A11268">
              <w:rPr>
                <w:rFonts w:asciiTheme="majorHAnsi" w:hAnsiTheme="majorHAnsi" w:cstheme="majorHAnsi"/>
                <w:sz w:val="18"/>
                <w:szCs w:val="18"/>
              </w:rPr>
              <w:t xml:space="preserve"> i spełnienie przez danego Uczestnika Kryterium Lojalnościowego, a w przypadku jego wyznaczenia dla danego Uczestnika</w:t>
            </w:r>
            <w:r>
              <w:rPr>
                <w:rFonts w:asciiTheme="majorHAnsi" w:hAnsiTheme="majorHAnsi" w:cstheme="majorHAnsi"/>
                <w:sz w:val="18"/>
                <w:szCs w:val="18"/>
              </w:rPr>
              <w:t xml:space="preserve"> i w odniesieniu do Uprawnień BCX-CM-J </w:t>
            </w:r>
            <w:r w:rsidRPr="00A11268">
              <w:rPr>
                <w:rFonts w:asciiTheme="majorHAnsi" w:hAnsiTheme="majorHAnsi" w:cstheme="majorHAnsi"/>
                <w:sz w:val="18"/>
                <w:szCs w:val="18"/>
              </w:rPr>
              <w:t>– także Kryterium Dodatkowego;</w:t>
            </w:r>
          </w:p>
        </w:tc>
      </w:tr>
      <w:tr w:rsidR="006A1004" w:rsidRPr="00A11268" w14:paraId="1319C73A" w14:textId="77777777" w:rsidTr="0063484D">
        <w:tc>
          <w:tcPr>
            <w:tcW w:w="4389" w:type="dxa"/>
          </w:tcPr>
          <w:p w14:paraId="0B0B877F"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Pr>
                <w:rFonts w:asciiTheme="majorHAnsi" w:hAnsiTheme="majorHAnsi" w:cstheme="majorHAnsi"/>
                <w:sz w:val="18"/>
                <w:szCs w:val="18"/>
              </w:rPr>
              <w:t>„</w:t>
            </w:r>
            <w:r>
              <w:rPr>
                <w:rFonts w:asciiTheme="majorHAnsi" w:hAnsiTheme="majorHAnsi" w:cstheme="majorHAnsi"/>
                <w:b/>
                <w:bCs/>
                <w:sz w:val="18"/>
                <w:szCs w:val="18"/>
              </w:rPr>
              <w:t>Przesłanki Wykonania Uprawnień BCX</w:t>
            </w:r>
            <w:r>
              <w:rPr>
                <w:rFonts w:asciiTheme="majorHAnsi" w:hAnsiTheme="majorHAnsi" w:cstheme="majorHAnsi"/>
                <w:b/>
                <w:bCs/>
                <w:sz w:val="18"/>
                <w:szCs w:val="18"/>
              </w:rPr>
              <w:noBreakHyphen/>
              <w:t>EM</w:t>
            </w:r>
            <w:r>
              <w:rPr>
                <w:rFonts w:asciiTheme="majorHAnsi" w:hAnsiTheme="majorHAnsi" w:cstheme="majorHAnsi"/>
                <w:sz w:val="18"/>
                <w:szCs w:val="18"/>
              </w:rPr>
              <w:t>”</w:t>
            </w:r>
          </w:p>
        </w:tc>
        <w:tc>
          <w:tcPr>
            <w:tcW w:w="5109" w:type="dxa"/>
          </w:tcPr>
          <w:p w14:paraId="5459C650"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łącznie osiągnięcie Celu </w:t>
            </w:r>
            <w:r>
              <w:rPr>
                <w:rFonts w:asciiTheme="majorHAnsi" w:hAnsiTheme="majorHAnsi" w:cstheme="majorHAnsi"/>
                <w:sz w:val="18"/>
                <w:szCs w:val="18"/>
              </w:rPr>
              <w:t>BCX-EM</w:t>
            </w:r>
            <w:r w:rsidRPr="00A11268">
              <w:rPr>
                <w:rFonts w:asciiTheme="majorHAnsi" w:hAnsiTheme="majorHAnsi" w:cstheme="majorHAnsi"/>
                <w:sz w:val="18"/>
                <w:szCs w:val="18"/>
              </w:rPr>
              <w:t xml:space="preserve"> i spełnienie przez danego Uczestnika Kryterium Lojalnościowego, a w przypadku jego wyznaczenia dla danego Uczestnika</w:t>
            </w:r>
            <w:r>
              <w:rPr>
                <w:rFonts w:asciiTheme="majorHAnsi" w:hAnsiTheme="majorHAnsi" w:cstheme="majorHAnsi"/>
                <w:sz w:val="18"/>
                <w:szCs w:val="18"/>
              </w:rPr>
              <w:t xml:space="preserve"> i w odniesieniu do Uprawnień BCX-EM </w:t>
            </w:r>
            <w:r w:rsidRPr="00A11268">
              <w:rPr>
                <w:rFonts w:asciiTheme="majorHAnsi" w:hAnsiTheme="majorHAnsi" w:cstheme="majorHAnsi"/>
                <w:sz w:val="18"/>
                <w:szCs w:val="18"/>
              </w:rPr>
              <w:t>– także Kryterium Dodatkowego;</w:t>
            </w:r>
          </w:p>
        </w:tc>
      </w:tr>
      <w:tr w:rsidR="006A1004" w:rsidRPr="00A11268" w14:paraId="5C254265" w14:textId="77777777" w:rsidTr="0063484D">
        <w:tc>
          <w:tcPr>
            <w:tcW w:w="4389" w:type="dxa"/>
          </w:tcPr>
          <w:p w14:paraId="5EFCBF94"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Rada Nadzorcza</w:t>
            </w:r>
            <w:r w:rsidRPr="00A11268">
              <w:rPr>
                <w:rFonts w:asciiTheme="majorHAnsi" w:hAnsiTheme="majorHAnsi" w:cstheme="majorHAnsi"/>
                <w:sz w:val="18"/>
                <w:szCs w:val="18"/>
              </w:rPr>
              <w:t>”</w:t>
            </w:r>
          </w:p>
        </w:tc>
        <w:tc>
          <w:tcPr>
            <w:tcW w:w="5109" w:type="dxa"/>
          </w:tcPr>
          <w:p w14:paraId="214E83DC"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Radę Nadzorczą Spółki;</w:t>
            </w:r>
          </w:p>
        </w:tc>
      </w:tr>
      <w:tr w:rsidR="006A1004" w:rsidRPr="00A11268" w14:paraId="40D93798" w14:textId="77777777" w:rsidTr="0063484D">
        <w:tc>
          <w:tcPr>
            <w:tcW w:w="4389" w:type="dxa"/>
          </w:tcPr>
          <w:p w14:paraId="1C7114BB"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Regulamin Programu Motywacyjnego</w:t>
            </w:r>
            <w:r w:rsidRPr="00A11268">
              <w:rPr>
                <w:rFonts w:asciiTheme="majorHAnsi" w:hAnsiTheme="majorHAnsi" w:cstheme="majorHAnsi"/>
                <w:sz w:val="18"/>
                <w:szCs w:val="18"/>
              </w:rPr>
              <w:t>”</w:t>
            </w:r>
          </w:p>
        </w:tc>
        <w:tc>
          <w:tcPr>
            <w:tcW w:w="5109" w:type="dxa"/>
          </w:tcPr>
          <w:p w14:paraId="3934FCF6"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ma znaczenie nadane w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_Ref224672285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8</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_Ref224672287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1</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38676435" w14:textId="77777777" w:rsidTr="0063484D">
        <w:tc>
          <w:tcPr>
            <w:tcW w:w="4389" w:type="dxa"/>
          </w:tcPr>
          <w:p w14:paraId="68368DF8"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Spółka</w:t>
            </w:r>
            <w:r w:rsidRPr="00A11268">
              <w:rPr>
                <w:rFonts w:asciiTheme="majorHAnsi" w:hAnsiTheme="majorHAnsi" w:cstheme="majorHAnsi"/>
                <w:sz w:val="18"/>
                <w:szCs w:val="18"/>
              </w:rPr>
              <w:t>”</w:t>
            </w:r>
          </w:p>
        </w:tc>
        <w:tc>
          <w:tcPr>
            <w:tcW w:w="5109" w:type="dxa"/>
          </w:tcPr>
          <w:p w14:paraId="0FF15570"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w:t>
            </w:r>
            <w:r w:rsidRPr="00A11268">
              <w:rPr>
                <w:rFonts w:asciiTheme="majorHAnsi" w:hAnsiTheme="majorHAnsi" w:cstheme="majorHAnsi"/>
                <w:bCs/>
                <w:sz w:val="18"/>
                <w:szCs w:val="18"/>
              </w:rPr>
              <w:t xml:space="preserve"> </w:t>
            </w:r>
            <w:proofErr w:type="spellStart"/>
            <w:r w:rsidRPr="00A11268">
              <w:rPr>
                <w:rFonts w:asciiTheme="majorHAnsi" w:hAnsiTheme="majorHAnsi" w:cstheme="majorHAnsi"/>
                <w:bCs/>
                <w:sz w:val="18"/>
                <w:szCs w:val="18"/>
              </w:rPr>
              <w:t>Bioceltix</w:t>
            </w:r>
            <w:proofErr w:type="spellEnd"/>
            <w:r w:rsidRPr="00A11268">
              <w:rPr>
                <w:rFonts w:asciiTheme="majorHAnsi" w:hAnsiTheme="majorHAnsi" w:cstheme="majorHAnsi"/>
                <w:bCs/>
                <w:sz w:val="18"/>
                <w:szCs w:val="18"/>
              </w:rPr>
              <w:t xml:space="preserve"> S.A. </w:t>
            </w:r>
            <w:r w:rsidRPr="00A11268">
              <w:rPr>
                <w:rFonts w:asciiTheme="majorHAnsi" w:hAnsiTheme="majorHAnsi" w:cstheme="majorHAnsi"/>
                <w:sz w:val="18"/>
                <w:szCs w:val="18"/>
              </w:rPr>
              <w:t>z siedzibą we Wrocławiu, ul. Bierutowska 57-59, budynek III, 51-317 Wrocław, wpisaną do rejestru przedsiębiorców Krajowego Rejestru Sądowego prowadzonego przez Sąd Rejonowy dla Wrocławia-Fabrycznej we Wrocławiu, VI Wydział Gospodarczy Krajowego Rejestru Sądowego, pod numerem KRS: 0000744521</w:t>
            </w:r>
            <w:r w:rsidRPr="00A11268">
              <w:rPr>
                <w:rFonts w:asciiTheme="majorHAnsi" w:hAnsiTheme="majorHAnsi" w:cstheme="majorHAnsi"/>
                <w:bCs/>
                <w:sz w:val="18"/>
                <w:szCs w:val="18"/>
              </w:rPr>
              <w:t>;</w:t>
            </w:r>
          </w:p>
        </w:tc>
      </w:tr>
      <w:tr w:rsidR="006A1004" w:rsidRPr="00A11268" w14:paraId="289E508F" w14:textId="77777777" w:rsidTr="0063484D">
        <w:tc>
          <w:tcPr>
            <w:tcW w:w="4389" w:type="dxa"/>
          </w:tcPr>
          <w:p w14:paraId="717C19C5"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bCs/>
                <w:sz w:val="18"/>
                <w:szCs w:val="18"/>
              </w:rPr>
              <w:t>Staż Zatrudnienia</w:t>
            </w:r>
            <w:r w:rsidRPr="00A11268">
              <w:rPr>
                <w:rFonts w:asciiTheme="majorHAnsi" w:hAnsiTheme="majorHAnsi" w:cstheme="majorHAnsi"/>
                <w:sz w:val="18"/>
                <w:szCs w:val="18"/>
              </w:rPr>
              <w:t>”</w:t>
            </w:r>
          </w:p>
        </w:tc>
        <w:tc>
          <w:tcPr>
            <w:tcW w:w="5109" w:type="dxa"/>
          </w:tcPr>
          <w:p w14:paraId="40F59693"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ustalony w dniach czas nieprzerwanego trwania Stosunku Zatrudnienia Uczestnika do Dnia Spełnienia Kryterium Lojalnościowego;</w:t>
            </w:r>
          </w:p>
        </w:tc>
      </w:tr>
      <w:tr w:rsidR="006A1004" w:rsidRPr="00A11268" w14:paraId="3D5A2012" w14:textId="77777777" w:rsidTr="0063484D">
        <w:tc>
          <w:tcPr>
            <w:tcW w:w="4389" w:type="dxa"/>
          </w:tcPr>
          <w:p w14:paraId="5C85388B"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 „</w:t>
            </w:r>
            <w:r w:rsidRPr="00A11268">
              <w:rPr>
                <w:rFonts w:asciiTheme="majorHAnsi" w:hAnsiTheme="majorHAnsi" w:cstheme="majorHAnsi"/>
                <w:b/>
                <w:sz w:val="18"/>
                <w:szCs w:val="18"/>
              </w:rPr>
              <w:t>Stosunek Zatrudnienia</w:t>
            </w:r>
            <w:r w:rsidRPr="00A11268">
              <w:rPr>
                <w:rFonts w:asciiTheme="majorHAnsi" w:hAnsiTheme="majorHAnsi" w:cstheme="majorHAnsi"/>
                <w:sz w:val="18"/>
                <w:szCs w:val="18"/>
              </w:rPr>
              <w:t>”</w:t>
            </w:r>
          </w:p>
        </w:tc>
        <w:tc>
          <w:tcPr>
            <w:tcW w:w="5109" w:type="dxa"/>
          </w:tcPr>
          <w:p w14:paraId="7DD707FB"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pełnienie </w:t>
            </w:r>
            <w:r>
              <w:rPr>
                <w:rFonts w:asciiTheme="majorHAnsi" w:hAnsiTheme="majorHAnsi" w:cstheme="majorHAnsi"/>
                <w:sz w:val="18"/>
                <w:szCs w:val="18"/>
              </w:rPr>
              <w:t xml:space="preserve">funkcji innej niż </w:t>
            </w:r>
            <w:r w:rsidRPr="00A11268">
              <w:rPr>
                <w:rFonts w:asciiTheme="majorHAnsi" w:hAnsiTheme="majorHAnsi" w:cstheme="majorHAnsi"/>
                <w:sz w:val="18"/>
                <w:szCs w:val="18"/>
              </w:rPr>
              <w:t>funkcj</w:t>
            </w:r>
            <w:r>
              <w:rPr>
                <w:rFonts w:asciiTheme="majorHAnsi" w:hAnsiTheme="majorHAnsi" w:cstheme="majorHAnsi"/>
                <w:sz w:val="18"/>
                <w:szCs w:val="18"/>
              </w:rPr>
              <w:t>a</w:t>
            </w:r>
            <w:r w:rsidRPr="00A11268">
              <w:rPr>
                <w:rFonts w:asciiTheme="majorHAnsi" w:hAnsiTheme="majorHAnsi" w:cstheme="majorHAnsi"/>
                <w:sz w:val="18"/>
                <w:szCs w:val="18"/>
              </w:rPr>
              <w:t xml:space="preserve"> członka </w:t>
            </w:r>
            <w:r>
              <w:rPr>
                <w:rFonts w:asciiTheme="majorHAnsi" w:hAnsiTheme="majorHAnsi" w:cstheme="majorHAnsi"/>
                <w:sz w:val="18"/>
                <w:szCs w:val="18"/>
              </w:rPr>
              <w:t>Z</w:t>
            </w:r>
            <w:r w:rsidRPr="00A11268">
              <w:rPr>
                <w:rFonts w:asciiTheme="majorHAnsi" w:hAnsiTheme="majorHAnsi" w:cstheme="majorHAnsi"/>
                <w:sz w:val="18"/>
                <w:szCs w:val="18"/>
              </w:rPr>
              <w:t>arządu lub</w:t>
            </w:r>
            <w:r>
              <w:rPr>
                <w:rFonts w:asciiTheme="majorHAnsi" w:hAnsiTheme="majorHAnsi" w:cstheme="majorHAnsi"/>
                <w:sz w:val="18"/>
                <w:szCs w:val="18"/>
              </w:rPr>
              <w:t xml:space="preserve"> członka Rady Nadzorczej, </w:t>
            </w:r>
            <w:r w:rsidRPr="00A11268">
              <w:rPr>
                <w:rFonts w:asciiTheme="majorHAnsi" w:hAnsiTheme="majorHAnsi" w:cstheme="majorHAnsi"/>
                <w:sz w:val="18"/>
                <w:szCs w:val="18"/>
              </w:rPr>
              <w:t>świadczenie pracy, wykonywanie zlecenia, świadczenie usługi lub wykonywanie dzieła na rzecz Spółki na podstawie stosunków prawnych określonych w art. 12 lub 13 Ustawy o PIT lub</w:t>
            </w:r>
            <w:r>
              <w:rPr>
                <w:rFonts w:asciiTheme="majorHAnsi" w:hAnsiTheme="majorHAnsi" w:cstheme="majorHAnsi"/>
                <w:sz w:val="18"/>
                <w:szCs w:val="18"/>
              </w:rPr>
              <w:t> </w:t>
            </w:r>
            <w:r w:rsidRPr="00A11268">
              <w:rPr>
                <w:rFonts w:asciiTheme="majorHAnsi" w:hAnsiTheme="majorHAnsi" w:cstheme="majorHAnsi"/>
                <w:sz w:val="18"/>
                <w:szCs w:val="18"/>
              </w:rPr>
              <w:t>w ramach prowadzonej przez siebie pozarolniczej działalności gospodarczej;</w:t>
            </w:r>
          </w:p>
        </w:tc>
      </w:tr>
      <w:tr w:rsidR="006A1004" w:rsidRPr="00A11268" w14:paraId="77FF9706" w14:textId="77777777" w:rsidTr="0063484D">
        <w:tc>
          <w:tcPr>
            <w:tcW w:w="4389" w:type="dxa"/>
          </w:tcPr>
          <w:p w14:paraId="458D1DFE"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Uchwała Alokująca</w:t>
            </w:r>
            <w:r w:rsidRPr="00A11268">
              <w:rPr>
                <w:rFonts w:asciiTheme="majorHAnsi" w:hAnsiTheme="majorHAnsi" w:cstheme="majorHAnsi"/>
                <w:sz w:val="18"/>
                <w:szCs w:val="18"/>
              </w:rPr>
              <w:t>”</w:t>
            </w:r>
          </w:p>
        </w:tc>
        <w:tc>
          <w:tcPr>
            <w:tcW w:w="5109" w:type="dxa"/>
          </w:tcPr>
          <w:p w14:paraId="51C46FBD" w14:textId="77777777" w:rsidR="006A1004" w:rsidRPr="00A11268" w:rsidRDefault="006A1004" w:rsidP="0063484D">
            <w:pPr>
              <w:pStyle w:val="Akapitzlist"/>
              <w:spacing w:after="120" w:line="240" w:lineRule="auto"/>
              <w:ind w:left="43"/>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oznacza uchwałę </w:t>
            </w:r>
            <w:r>
              <w:rPr>
                <w:rFonts w:asciiTheme="majorHAnsi" w:hAnsiTheme="majorHAnsi" w:cstheme="majorHAnsi"/>
                <w:sz w:val="18"/>
                <w:szCs w:val="18"/>
              </w:rPr>
              <w:t xml:space="preserve">Zarządu </w:t>
            </w:r>
            <w:r w:rsidRPr="00A11268">
              <w:rPr>
                <w:rFonts w:asciiTheme="majorHAnsi" w:hAnsiTheme="majorHAnsi" w:cstheme="majorHAnsi"/>
                <w:sz w:val="18"/>
                <w:szCs w:val="18"/>
              </w:rPr>
              <w:t xml:space="preserve">stwierdzającą spełnienie lub niespełnienie przez Uczestników Przesłanek Wykonania Uprawnień oraz określającą liczbę Warrantów Subskrypcyjnych, do objęcia których uprawniony jest dany Uczestnik w wykonaniu przysługującego mu Uprawnienia; </w:t>
            </w:r>
          </w:p>
        </w:tc>
      </w:tr>
      <w:tr w:rsidR="006A1004" w:rsidRPr="00A11268" w14:paraId="6BE118C4" w14:textId="77777777" w:rsidTr="0063484D">
        <w:tc>
          <w:tcPr>
            <w:tcW w:w="4389" w:type="dxa"/>
          </w:tcPr>
          <w:p w14:paraId="2351BA91"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Uchwała Włączająca</w:t>
            </w:r>
            <w:r w:rsidRPr="00A11268">
              <w:rPr>
                <w:rFonts w:asciiTheme="majorHAnsi" w:hAnsiTheme="majorHAnsi" w:cstheme="majorHAnsi"/>
                <w:sz w:val="18"/>
                <w:szCs w:val="18"/>
              </w:rPr>
              <w:t>”</w:t>
            </w:r>
          </w:p>
        </w:tc>
        <w:tc>
          <w:tcPr>
            <w:tcW w:w="5109" w:type="dxa"/>
          </w:tcPr>
          <w:p w14:paraId="116F0A0C" w14:textId="77777777" w:rsidR="006A1004" w:rsidRPr="00A11268" w:rsidRDefault="006A1004" w:rsidP="0063484D">
            <w:pPr>
              <w:pStyle w:val="Akapitzlist"/>
              <w:spacing w:after="120" w:line="240" w:lineRule="auto"/>
              <w:ind w:left="43"/>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oznacza uchwałę </w:t>
            </w:r>
            <w:r>
              <w:rPr>
                <w:rFonts w:asciiTheme="majorHAnsi" w:hAnsiTheme="majorHAnsi" w:cstheme="majorHAnsi"/>
                <w:sz w:val="18"/>
                <w:szCs w:val="18"/>
              </w:rPr>
              <w:t>Zarządu</w:t>
            </w:r>
            <w:r w:rsidRPr="00A11268">
              <w:rPr>
                <w:rFonts w:asciiTheme="majorHAnsi" w:hAnsiTheme="majorHAnsi" w:cstheme="majorHAnsi"/>
                <w:sz w:val="18"/>
                <w:szCs w:val="18"/>
              </w:rPr>
              <w:t xml:space="preserve"> w sprawie wskazania Osoby Uprawnionej do uczestnictwa w Programie Motywacyjnym</w:t>
            </w:r>
            <w:r>
              <w:rPr>
                <w:rFonts w:asciiTheme="majorHAnsi" w:hAnsiTheme="majorHAnsi" w:cstheme="majorHAnsi"/>
                <w:sz w:val="18"/>
                <w:szCs w:val="18"/>
              </w:rPr>
              <w:t>;</w:t>
            </w:r>
          </w:p>
        </w:tc>
      </w:tr>
      <w:tr w:rsidR="006A1004" w:rsidRPr="00A11268" w14:paraId="30550C1E" w14:textId="77777777" w:rsidTr="0063484D">
        <w:tc>
          <w:tcPr>
            <w:tcW w:w="4389" w:type="dxa"/>
          </w:tcPr>
          <w:p w14:paraId="35801010"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bCs/>
                <w:sz w:val="18"/>
                <w:szCs w:val="18"/>
              </w:rPr>
              <w:t xml:space="preserve">Uchwała </w:t>
            </w:r>
            <w:proofErr w:type="spellStart"/>
            <w:r w:rsidRPr="00A11268">
              <w:rPr>
                <w:rFonts w:asciiTheme="majorHAnsi" w:hAnsiTheme="majorHAnsi" w:cstheme="majorHAnsi"/>
                <w:b/>
                <w:bCs/>
                <w:sz w:val="18"/>
                <w:szCs w:val="18"/>
              </w:rPr>
              <w:t>ws</w:t>
            </w:r>
            <w:proofErr w:type="spellEnd"/>
            <w:r w:rsidRPr="00A11268">
              <w:rPr>
                <w:rFonts w:asciiTheme="majorHAnsi" w:hAnsiTheme="majorHAnsi" w:cstheme="majorHAnsi"/>
                <w:b/>
                <w:bCs/>
                <w:sz w:val="18"/>
                <w:szCs w:val="18"/>
              </w:rPr>
              <w:t>. Emisji Warrantów Subskrypcyjnych</w:t>
            </w:r>
            <w:r w:rsidRPr="00A11268">
              <w:rPr>
                <w:rFonts w:asciiTheme="majorHAnsi" w:hAnsiTheme="majorHAnsi" w:cstheme="majorHAnsi"/>
                <w:sz w:val="18"/>
                <w:szCs w:val="18"/>
              </w:rPr>
              <w:t>”</w:t>
            </w:r>
          </w:p>
        </w:tc>
        <w:tc>
          <w:tcPr>
            <w:tcW w:w="5109" w:type="dxa"/>
          </w:tcPr>
          <w:p w14:paraId="0CF50F35"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uchwałę niniejszego Zwyczajnego Walnego Zgromadzenia Spółki będącą podstawą emisji Warrantów Subskrypcyjnych i związanego z nią warunkowego podwyższenia kapitału zakładowego Spółki;</w:t>
            </w:r>
          </w:p>
        </w:tc>
      </w:tr>
      <w:tr w:rsidR="006A1004" w:rsidRPr="00A11268" w14:paraId="164D3AD4" w14:textId="77777777" w:rsidTr="0063484D">
        <w:tc>
          <w:tcPr>
            <w:tcW w:w="4389" w:type="dxa"/>
          </w:tcPr>
          <w:p w14:paraId="49BEA6A7"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lastRenderedPageBreak/>
              <w:t>„</w:t>
            </w:r>
            <w:r w:rsidRPr="00A11268">
              <w:rPr>
                <w:rFonts w:asciiTheme="majorHAnsi" w:hAnsiTheme="majorHAnsi" w:cstheme="majorHAnsi"/>
                <w:b/>
                <w:sz w:val="18"/>
                <w:szCs w:val="18"/>
              </w:rPr>
              <w:t>Uczestnik</w:t>
            </w:r>
            <w:r w:rsidRPr="00A11268">
              <w:rPr>
                <w:rFonts w:asciiTheme="majorHAnsi" w:hAnsiTheme="majorHAnsi" w:cstheme="majorHAnsi"/>
                <w:sz w:val="18"/>
                <w:szCs w:val="18"/>
              </w:rPr>
              <w:t>”</w:t>
            </w:r>
          </w:p>
        </w:tc>
        <w:tc>
          <w:tcPr>
            <w:tcW w:w="5109" w:type="dxa"/>
          </w:tcPr>
          <w:p w14:paraId="320C20A5"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Osobę Uprawnioną, która zawarła ze Spółką Umowę Uczestnictwa;</w:t>
            </w:r>
          </w:p>
        </w:tc>
      </w:tr>
      <w:tr w:rsidR="006A1004" w:rsidRPr="00A11268" w14:paraId="5A00F191" w14:textId="77777777" w:rsidTr="0063484D">
        <w:tc>
          <w:tcPr>
            <w:tcW w:w="4389" w:type="dxa"/>
          </w:tcPr>
          <w:p w14:paraId="2BD6852C"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Umowa Uczestnictwa</w:t>
            </w:r>
            <w:r w:rsidRPr="00A11268">
              <w:rPr>
                <w:rFonts w:asciiTheme="majorHAnsi" w:hAnsiTheme="majorHAnsi" w:cstheme="majorHAnsi"/>
                <w:sz w:val="18"/>
                <w:szCs w:val="18"/>
              </w:rPr>
              <w:t>”</w:t>
            </w:r>
          </w:p>
        </w:tc>
        <w:tc>
          <w:tcPr>
            <w:tcW w:w="5109" w:type="dxa"/>
          </w:tcPr>
          <w:p w14:paraId="5FBFBEA0"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ma znaczenie nadane w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_Ref101435969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2</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_Ref229733217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2</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pkt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_Ref101527723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2)</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0BF6254D" w14:textId="77777777" w:rsidTr="0063484D">
        <w:tc>
          <w:tcPr>
            <w:tcW w:w="4389" w:type="dxa"/>
          </w:tcPr>
          <w:p w14:paraId="714021A9"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Uprawnienie</w:t>
            </w:r>
            <w:r w:rsidRPr="00A11268">
              <w:rPr>
                <w:rFonts w:asciiTheme="majorHAnsi" w:hAnsiTheme="majorHAnsi" w:cstheme="majorHAnsi"/>
                <w:sz w:val="18"/>
                <w:szCs w:val="18"/>
              </w:rPr>
              <w:t>”</w:t>
            </w:r>
          </w:p>
        </w:tc>
        <w:tc>
          <w:tcPr>
            <w:tcW w:w="5109" w:type="dxa"/>
          </w:tcPr>
          <w:p w14:paraId="4458565E" w14:textId="77777777" w:rsidR="006A1004" w:rsidRPr="00A11268" w:rsidRDefault="006A1004" w:rsidP="0063484D">
            <w:pPr>
              <w:spacing w:after="120" w:line="240" w:lineRule="auto"/>
              <w:ind w:left="28"/>
              <w:jc w:val="both"/>
              <w:rPr>
                <w:rFonts w:asciiTheme="majorHAnsi" w:hAnsiTheme="majorHAnsi" w:cstheme="majorHAnsi"/>
                <w:sz w:val="18"/>
                <w:szCs w:val="18"/>
              </w:rPr>
            </w:pPr>
            <w:r>
              <w:rPr>
                <w:rFonts w:asciiTheme="majorHAnsi" w:hAnsiTheme="majorHAnsi" w:cstheme="majorHAnsi"/>
                <w:sz w:val="18"/>
                <w:szCs w:val="18"/>
              </w:rPr>
              <w:t>oznacza odpowiednio Uprawnienie BCX-CM-J, Uprawnienie BCX-EM lub Uprawnienie BCX-CM-AD;</w:t>
            </w:r>
          </w:p>
        </w:tc>
      </w:tr>
      <w:tr w:rsidR="006A1004" w:rsidRPr="00A11268" w14:paraId="2ADC7219" w14:textId="77777777" w:rsidTr="0063484D">
        <w:tc>
          <w:tcPr>
            <w:tcW w:w="4389" w:type="dxa"/>
          </w:tcPr>
          <w:p w14:paraId="7D01A395"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Uprawnienie</w:t>
            </w:r>
            <w:r>
              <w:rPr>
                <w:rFonts w:asciiTheme="majorHAnsi" w:hAnsiTheme="majorHAnsi" w:cstheme="majorHAnsi"/>
                <w:b/>
                <w:sz w:val="18"/>
                <w:szCs w:val="18"/>
              </w:rPr>
              <w:t xml:space="preserve"> BCX-CM-AD</w:t>
            </w:r>
            <w:r w:rsidRPr="00A11268">
              <w:rPr>
                <w:rFonts w:asciiTheme="majorHAnsi" w:hAnsiTheme="majorHAnsi" w:cstheme="majorHAnsi"/>
                <w:sz w:val="18"/>
                <w:szCs w:val="18"/>
              </w:rPr>
              <w:t>”</w:t>
            </w:r>
          </w:p>
        </w:tc>
        <w:tc>
          <w:tcPr>
            <w:tcW w:w="5109" w:type="dxa"/>
          </w:tcPr>
          <w:p w14:paraId="42ED7634" w14:textId="77777777" w:rsidR="006A1004" w:rsidRPr="00A11268" w:rsidRDefault="006A1004" w:rsidP="0063484D">
            <w:pPr>
              <w:spacing w:after="120" w:line="240" w:lineRule="auto"/>
              <w:ind w:left="28"/>
              <w:jc w:val="both"/>
              <w:rPr>
                <w:rFonts w:asciiTheme="majorHAnsi" w:hAnsiTheme="majorHAnsi" w:cstheme="majorHAnsi"/>
                <w:sz w:val="18"/>
                <w:szCs w:val="18"/>
              </w:rPr>
            </w:pPr>
            <w:r w:rsidRPr="00A11268">
              <w:rPr>
                <w:rFonts w:asciiTheme="majorHAnsi" w:hAnsiTheme="majorHAnsi" w:cstheme="majorHAnsi"/>
                <w:sz w:val="18"/>
                <w:szCs w:val="18"/>
              </w:rPr>
              <w:t>oznacza niezbywalne uprawnienie o charakterze osobistym do</w:t>
            </w:r>
            <w:r>
              <w:rPr>
                <w:rFonts w:asciiTheme="majorHAnsi" w:hAnsiTheme="majorHAnsi" w:cstheme="majorHAnsi"/>
                <w:sz w:val="18"/>
                <w:szCs w:val="18"/>
              </w:rPr>
              <w:t> </w:t>
            </w:r>
            <w:r w:rsidRPr="00A11268">
              <w:rPr>
                <w:rFonts w:asciiTheme="majorHAnsi" w:hAnsiTheme="majorHAnsi" w:cstheme="majorHAnsi"/>
                <w:sz w:val="18"/>
                <w:szCs w:val="18"/>
              </w:rPr>
              <w:t xml:space="preserve">nieodpłatnego objęcia Warrantów Subskrypcyjnych w liczbie ustalonej zgodnie 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\r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REF _Ref234920325 \n \h </w:instrText>
            </w:r>
            <w:r>
              <w:rPr>
                <w:rFonts w:asciiTheme="majorHAnsi" w:hAnsiTheme="majorHAnsi" w:cstheme="majorHAnsi"/>
                <w:sz w:val="18"/>
                <w:szCs w:val="18"/>
              </w:rPr>
            </w:r>
            <w:r>
              <w:rPr>
                <w:rFonts w:asciiTheme="majorHAnsi" w:hAnsiTheme="majorHAnsi" w:cstheme="majorHAnsi"/>
                <w:sz w:val="18"/>
                <w:szCs w:val="18"/>
              </w:rPr>
              <w:fldChar w:fldCharType="separate"/>
            </w:r>
            <w:r>
              <w:rPr>
                <w:rFonts w:asciiTheme="majorHAnsi" w:hAnsiTheme="majorHAnsi" w:cstheme="majorHAnsi"/>
                <w:sz w:val="18"/>
                <w:szCs w:val="18"/>
              </w:rPr>
              <w:t>6</w:t>
            </w:r>
            <w:r>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1A91543E" w14:textId="77777777" w:rsidTr="0063484D">
        <w:tc>
          <w:tcPr>
            <w:tcW w:w="4389" w:type="dxa"/>
          </w:tcPr>
          <w:p w14:paraId="6611EE50"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Uprawnienie</w:t>
            </w:r>
            <w:r>
              <w:rPr>
                <w:rFonts w:asciiTheme="majorHAnsi" w:hAnsiTheme="majorHAnsi" w:cstheme="majorHAnsi"/>
                <w:b/>
                <w:sz w:val="18"/>
                <w:szCs w:val="18"/>
              </w:rPr>
              <w:t xml:space="preserve"> BCX-CM-J</w:t>
            </w:r>
            <w:r w:rsidRPr="00A11268">
              <w:rPr>
                <w:rFonts w:asciiTheme="majorHAnsi" w:hAnsiTheme="majorHAnsi" w:cstheme="majorHAnsi"/>
                <w:sz w:val="18"/>
                <w:szCs w:val="18"/>
              </w:rPr>
              <w:t>”</w:t>
            </w:r>
          </w:p>
        </w:tc>
        <w:tc>
          <w:tcPr>
            <w:tcW w:w="5109" w:type="dxa"/>
          </w:tcPr>
          <w:p w14:paraId="58F06CF8"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niezbywalne uprawnienie o charakterze osobistym do</w:t>
            </w:r>
            <w:r>
              <w:rPr>
                <w:rFonts w:asciiTheme="majorHAnsi" w:hAnsiTheme="majorHAnsi" w:cstheme="majorHAnsi"/>
                <w:sz w:val="18"/>
                <w:szCs w:val="18"/>
              </w:rPr>
              <w:t> </w:t>
            </w:r>
            <w:r w:rsidRPr="00A11268">
              <w:rPr>
                <w:rFonts w:asciiTheme="majorHAnsi" w:hAnsiTheme="majorHAnsi" w:cstheme="majorHAnsi"/>
                <w:sz w:val="18"/>
                <w:szCs w:val="18"/>
              </w:rPr>
              <w:t xml:space="preserve">nieodpłatnego objęcia Warrantów Subskrypcyjnych w liczbie ustalonej zgodnie 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\r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_Ref224657512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4</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38BC1A38" w14:textId="77777777" w:rsidTr="0063484D">
        <w:tc>
          <w:tcPr>
            <w:tcW w:w="4389" w:type="dxa"/>
          </w:tcPr>
          <w:p w14:paraId="54598273"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Uprawnienie</w:t>
            </w:r>
            <w:r>
              <w:rPr>
                <w:rFonts w:asciiTheme="majorHAnsi" w:hAnsiTheme="majorHAnsi" w:cstheme="majorHAnsi"/>
                <w:b/>
                <w:sz w:val="18"/>
                <w:szCs w:val="18"/>
              </w:rPr>
              <w:t xml:space="preserve"> BCX-EM</w:t>
            </w:r>
            <w:r w:rsidRPr="00A11268">
              <w:rPr>
                <w:rFonts w:asciiTheme="majorHAnsi" w:hAnsiTheme="majorHAnsi" w:cstheme="majorHAnsi"/>
                <w:sz w:val="18"/>
                <w:szCs w:val="18"/>
              </w:rPr>
              <w:t>”</w:t>
            </w:r>
          </w:p>
        </w:tc>
        <w:tc>
          <w:tcPr>
            <w:tcW w:w="5109" w:type="dxa"/>
          </w:tcPr>
          <w:p w14:paraId="08EE4AE6"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niezbywalne uprawnienie o charakterze osobistym do</w:t>
            </w:r>
            <w:r>
              <w:rPr>
                <w:rFonts w:asciiTheme="majorHAnsi" w:hAnsiTheme="majorHAnsi" w:cstheme="majorHAnsi"/>
                <w:sz w:val="18"/>
                <w:szCs w:val="18"/>
              </w:rPr>
              <w:t> </w:t>
            </w:r>
            <w:r w:rsidRPr="00A11268">
              <w:rPr>
                <w:rFonts w:asciiTheme="majorHAnsi" w:hAnsiTheme="majorHAnsi" w:cstheme="majorHAnsi"/>
                <w:sz w:val="18"/>
                <w:szCs w:val="18"/>
              </w:rPr>
              <w:t xml:space="preserve">nieodpłatnego objęcia Warrantów Subskrypcyjnych w liczbie ustalonej zgodnie 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\r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REF _Ref234920201 \n \h </w:instrText>
            </w:r>
            <w:r>
              <w:rPr>
                <w:rFonts w:asciiTheme="majorHAnsi" w:hAnsiTheme="majorHAnsi" w:cstheme="majorHAnsi"/>
                <w:sz w:val="18"/>
                <w:szCs w:val="18"/>
              </w:rPr>
            </w:r>
            <w:r>
              <w:rPr>
                <w:rFonts w:asciiTheme="majorHAnsi" w:hAnsiTheme="majorHAnsi" w:cstheme="majorHAnsi"/>
                <w:sz w:val="18"/>
                <w:szCs w:val="18"/>
              </w:rPr>
              <w:fldChar w:fldCharType="separate"/>
            </w:r>
            <w:r>
              <w:rPr>
                <w:rFonts w:asciiTheme="majorHAnsi" w:hAnsiTheme="majorHAnsi" w:cstheme="majorHAnsi"/>
                <w:sz w:val="18"/>
                <w:szCs w:val="18"/>
              </w:rPr>
              <w:t>5</w:t>
            </w:r>
            <w:r>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poniżej;</w:t>
            </w:r>
          </w:p>
        </w:tc>
      </w:tr>
      <w:tr w:rsidR="006A1004" w:rsidRPr="00A11268" w14:paraId="3E16E072" w14:textId="77777777" w:rsidTr="0063484D">
        <w:tc>
          <w:tcPr>
            <w:tcW w:w="4389" w:type="dxa"/>
          </w:tcPr>
          <w:p w14:paraId="2346A6D2"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Ustawa o PIT</w:t>
            </w:r>
            <w:r w:rsidRPr="00A11268">
              <w:rPr>
                <w:rFonts w:asciiTheme="majorHAnsi" w:hAnsiTheme="majorHAnsi" w:cstheme="majorHAnsi"/>
                <w:sz w:val="18"/>
                <w:szCs w:val="18"/>
              </w:rPr>
              <w:t>”</w:t>
            </w:r>
          </w:p>
        </w:tc>
        <w:tc>
          <w:tcPr>
            <w:tcW w:w="5109" w:type="dxa"/>
          </w:tcPr>
          <w:p w14:paraId="687A7CE9"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ustawę z dnia 26 lipca 1991 r. o podatku dochodowym od osób fizycznych;</w:t>
            </w:r>
          </w:p>
        </w:tc>
      </w:tr>
      <w:tr w:rsidR="006A1004" w:rsidRPr="00A11268" w14:paraId="4432E936" w14:textId="77777777" w:rsidTr="0063484D">
        <w:tc>
          <w:tcPr>
            <w:tcW w:w="4389" w:type="dxa"/>
          </w:tcPr>
          <w:p w14:paraId="0EAD3B2D"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Warranty Subskrypcyjne</w:t>
            </w:r>
            <w:r w:rsidRPr="00A11268">
              <w:rPr>
                <w:rFonts w:asciiTheme="majorHAnsi" w:hAnsiTheme="majorHAnsi" w:cstheme="majorHAnsi"/>
                <w:sz w:val="18"/>
                <w:szCs w:val="18"/>
              </w:rPr>
              <w:t>”</w:t>
            </w:r>
          </w:p>
        </w:tc>
        <w:tc>
          <w:tcPr>
            <w:tcW w:w="5109" w:type="dxa"/>
          </w:tcPr>
          <w:p w14:paraId="26C3E4F2"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 xml:space="preserve">oznacza </w:t>
            </w:r>
            <w:r>
              <w:rPr>
                <w:rFonts w:asciiTheme="majorHAnsi" w:hAnsiTheme="majorHAnsi" w:cstheme="majorHAnsi"/>
                <w:sz w:val="18"/>
                <w:szCs w:val="18"/>
              </w:rPr>
              <w:t xml:space="preserve">łącznie </w:t>
            </w:r>
            <w:r w:rsidRPr="00A11268">
              <w:rPr>
                <w:rFonts w:asciiTheme="majorHAnsi" w:hAnsiTheme="majorHAnsi" w:cstheme="majorHAnsi"/>
                <w:sz w:val="18"/>
                <w:szCs w:val="18"/>
              </w:rPr>
              <w:t xml:space="preserve">nie więcej niż </w:t>
            </w:r>
            <w:r w:rsidRPr="00A1273B">
              <w:rPr>
                <w:rFonts w:asciiTheme="majorHAnsi" w:hAnsiTheme="majorHAnsi" w:cstheme="majorHAnsi"/>
                <w:sz w:val="18"/>
                <w:szCs w:val="18"/>
              </w:rPr>
              <w:t>247.825 (dwieście czterdzieści siedem tysięcy osiemset dwadzieścia pięć)</w:t>
            </w:r>
            <w:r w:rsidRPr="00A11268">
              <w:rPr>
                <w:rFonts w:asciiTheme="majorHAnsi" w:hAnsiTheme="majorHAnsi" w:cstheme="majorHAnsi"/>
                <w:sz w:val="18"/>
                <w:szCs w:val="18"/>
              </w:rPr>
              <w:t xml:space="preserve"> emitowanych przez Spółkę imiennych warrantów subskrypcyjnych, z których każdy uprawniać będzie jego posiadacza do objęcia 1 (jednej) Akcji Nowej Emisji za</w:t>
            </w:r>
            <w:r>
              <w:rPr>
                <w:rFonts w:asciiTheme="majorHAnsi" w:hAnsiTheme="majorHAnsi" w:cstheme="majorHAnsi"/>
                <w:sz w:val="18"/>
                <w:szCs w:val="18"/>
              </w:rPr>
              <w:t> </w:t>
            </w:r>
            <w:r w:rsidRPr="00A11268">
              <w:rPr>
                <w:rFonts w:asciiTheme="majorHAnsi" w:hAnsiTheme="majorHAnsi" w:cstheme="majorHAnsi"/>
                <w:sz w:val="18"/>
                <w:szCs w:val="18"/>
              </w:rPr>
              <w:t xml:space="preserve">cenę emisyjną określoną w Uchwale </w:t>
            </w:r>
            <w:proofErr w:type="spellStart"/>
            <w:r w:rsidRPr="00A11268">
              <w:rPr>
                <w:rFonts w:asciiTheme="majorHAnsi" w:hAnsiTheme="majorHAnsi" w:cstheme="majorHAnsi"/>
                <w:sz w:val="18"/>
                <w:szCs w:val="18"/>
              </w:rPr>
              <w:t>ws</w:t>
            </w:r>
            <w:proofErr w:type="spellEnd"/>
            <w:r w:rsidRPr="00A11268">
              <w:rPr>
                <w:rFonts w:asciiTheme="majorHAnsi" w:hAnsiTheme="majorHAnsi" w:cstheme="majorHAnsi"/>
                <w:sz w:val="18"/>
                <w:szCs w:val="18"/>
              </w:rPr>
              <w:t>. Emisji Warrantów Subskrypcyjnych;</w:t>
            </w:r>
          </w:p>
        </w:tc>
      </w:tr>
      <w:tr w:rsidR="006A1004" w:rsidRPr="00A11268" w14:paraId="4E220554" w14:textId="77777777" w:rsidTr="0063484D">
        <w:tc>
          <w:tcPr>
            <w:tcW w:w="4389" w:type="dxa"/>
          </w:tcPr>
          <w:p w14:paraId="70299987" w14:textId="77777777" w:rsidR="006A1004" w:rsidRPr="00A11268" w:rsidRDefault="006A1004" w:rsidP="006A1004">
            <w:pPr>
              <w:pStyle w:val="Akapitzlist"/>
              <w:numPr>
                <w:ilvl w:val="2"/>
                <w:numId w:val="36"/>
              </w:numPr>
              <w:spacing w:after="120" w:line="240" w:lineRule="auto"/>
              <w:ind w:left="753" w:hanging="426"/>
              <w:contextualSpacing w:val="0"/>
              <w:jc w:val="both"/>
              <w:rPr>
                <w:rFonts w:asciiTheme="majorHAnsi" w:hAnsiTheme="majorHAnsi" w:cstheme="majorHAnsi"/>
                <w:sz w:val="18"/>
                <w:szCs w:val="18"/>
              </w:rPr>
            </w:pPr>
            <w:r w:rsidRPr="00A11268">
              <w:rPr>
                <w:rFonts w:asciiTheme="majorHAnsi" w:hAnsiTheme="majorHAnsi" w:cstheme="majorHAnsi"/>
                <w:sz w:val="18"/>
                <w:szCs w:val="18"/>
              </w:rPr>
              <w:t>„</w:t>
            </w:r>
            <w:r w:rsidRPr="00A11268">
              <w:rPr>
                <w:rFonts w:asciiTheme="majorHAnsi" w:hAnsiTheme="majorHAnsi" w:cstheme="majorHAnsi"/>
                <w:b/>
                <w:sz w:val="18"/>
                <w:szCs w:val="18"/>
              </w:rPr>
              <w:t>Zarząd</w:t>
            </w:r>
            <w:r w:rsidRPr="00A11268">
              <w:rPr>
                <w:rFonts w:asciiTheme="majorHAnsi" w:hAnsiTheme="majorHAnsi" w:cstheme="majorHAnsi"/>
                <w:sz w:val="18"/>
                <w:szCs w:val="18"/>
              </w:rPr>
              <w:t>”</w:t>
            </w:r>
          </w:p>
        </w:tc>
        <w:tc>
          <w:tcPr>
            <w:tcW w:w="5109" w:type="dxa"/>
          </w:tcPr>
          <w:p w14:paraId="06F3B2E1" w14:textId="77777777" w:rsidR="006A1004" w:rsidRPr="00A11268" w:rsidRDefault="006A1004" w:rsidP="0063484D">
            <w:pPr>
              <w:spacing w:after="120" w:line="240" w:lineRule="auto"/>
              <w:ind w:left="30"/>
              <w:jc w:val="both"/>
              <w:rPr>
                <w:rFonts w:asciiTheme="majorHAnsi" w:hAnsiTheme="majorHAnsi" w:cstheme="majorHAnsi"/>
                <w:sz w:val="18"/>
                <w:szCs w:val="18"/>
              </w:rPr>
            </w:pPr>
            <w:r w:rsidRPr="00A11268">
              <w:rPr>
                <w:rFonts w:asciiTheme="majorHAnsi" w:hAnsiTheme="majorHAnsi" w:cstheme="majorHAnsi"/>
                <w:sz w:val="18"/>
                <w:szCs w:val="18"/>
              </w:rPr>
              <w:t>oznacza Zarząd Spółki.</w:t>
            </w:r>
          </w:p>
        </w:tc>
      </w:tr>
    </w:tbl>
    <w:p w14:paraId="0A334C13"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6CFA1F3C" w14:textId="77777777" w:rsidR="006A1004" w:rsidRPr="00A11268" w:rsidRDefault="006A1004" w:rsidP="006A1004">
      <w:pPr>
        <w:spacing w:after="120" w:line="240" w:lineRule="auto"/>
        <w:jc w:val="center"/>
        <w:rPr>
          <w:rFonts w:asciiTheme="majorHAnsi" w:hAnsiTheme="majorHAnsi" w:cstheme="majorHAnsi"/>
          <w:b/>
          <w:sz w:val="18"/>
          <w:szCs w:val="18"/>
        </w:rPr>
      </w:pPr>
      <w:r w:rsidRPr="00A11268">
        <w:rPr>
          <w:rFonts w:asciiTheme="majorHAnsi" w:hAnsiTheme="majorHAnsi" w:cstheme="majorHAnsi"/>
          <w:b/>
          <w:sz w:val="18"/>
          <w:szCs w:val="18"/>
        </w:rPr>
        <w:t>Uczestnicy Programu Motywacyjnego</w:t>
      </w:r>
    </w:p>
    <w:p w14:paraId="528D32B0" w14:textId="77777777" w:rsidR="006A1004" w:rsidRPr="00A11268" w:rsidRDefault="006A1004" w:rsidP="006A1004">
      <w:pPr>
        <w:pStyle w:val="Akapitzlist"/>
        <w:numPr>
          <w:ilvl w:val="1"/>
          <w:numId w:val="41"/>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Osobami, które mogą zostać włączone do uczestnictwa w Programie Motywacyjnym są wszystkie Osoby Uprawnione, w tym osoby, które uzyskają status Osoby Uprawnionej po dniu podjęcia niniejszej uchwały. </w:t>
      </w:r>
      <w:r>
        <w:rPr>
          <w:rFonts w:asciiTheme="majorHAnsi" w:hAnsiTheme="majorHAnsi" w:cstheme="majorHAnsi"/>
          <w:sz w:val="18"/>
          <w:szCs w:val="18"/>
        </w:rPr>
        <w:t>Celem uniknięcia wątpliwości, osoby pełniące funkcję członka Zarządu lub Rady Nadzorczej nie są uprawnione do uczestnictwa w Programie Motywacyjnym, bez względu na możliwość istnienia równoległego do pełnienia ww. funkcji Stosunku Zatrudnienia.</w:t>
      </w:r>
    </w:p>
    <w:p w14:paraId="0DDE6760" w14:textId="77777777" w:rsidR="006A1004" w:rsidRPr="00A11268" w:rsidRDefault="006A1004" w:rsidP="006A1004">
      <w:pPr>
        <w:pStyle w:val="Akapitzlist"/>
        <w:numPr>
          <w:ilvl w:val="1"/>
          <w:numId w:val="41"/>
        </w:numPr>
        <w:spacing w:after="120" w:line="240" w:lineRule="auto"/>
        <w:contextualSpacing w:val="0"/>
        <w:rPr>
          <w:rFonts w:asciiTheme="majorHAnsi" w:hAnsiTheme="majorHAnsi" w:cstheme="majorHAnsi"/>
          <w:sz w:val="18"/>
          <w:szCs w:val="18"/>
        </w:rPr>
      </w:pPr>
      <w:r w:rsidRPr="00A11268">
        <w:rPr>
          <w:rFonts w:asciiTheme="majorHAnsi" w:hAnsiTheme="majorHAnsi" w:cstheme="majorHAnsi"/>
          <w:sz w:val="18"/>
          <w:szCs w:val="18"/>
        </w:rPr>
        <w:t>Warunkiem uczestnictwa Osoby Uprawnionej w Programie Motywacyjnym jest:</w:t>
      </w:r>
    </w:p>
    <w:p w14:paraId="283094C2" w14:textId="77777777" w:rsidR="006A1004" w:rsidRPr="00A11268" w:rsidRDefault="006A1004" w:rsidP="006A1004">
      <w:pPr>
        <w:pStyle w:val="Akapitzlist"/>
        <w:numPr>
          <w:ilvl w:val="2"/>
          <w:numId w:val="41"/>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podjęcie przez </w:t>
      </w:r>
      <w:r>
        <w:rPr>
          <w:rFonts w:asciiTheme="majorHAnsi" w:hAnsiTheme="majorHAnsi" w:cstheme="majorHAnsi"/>
          <w:sz w:val="18"/>
          <w:szCs w:val="18"/>
        </w:rPr>
        <w:t xml:space="preserve">Zarząd </w:t>
      </w:r>
      <w:r w:rsidRPr="00A11268">
        <w:rPr>
          <w:rFonts w:asciiTheme="majorHAnsi" w:hAnsiTheme="majorHAnsi" w:cstheme="majorHAnsi"/>
          <w:sz w:val="18"/>
          <w:szCs w:val="18"/>
        </w:rPr>
        <w:t>Uchwały Włączającej, przy czym przed podjęciem Uchwały Włączającej Zarząd zobowiązany jest do uzyskania opinii Rady Nadzorczej w przedmiocie włączenia wskazanych w niej Osób Uprawnionych do uczestnictwa w Programie Motywacyjnym;</w:t>
      </w:r>
    </w:p>
    <w:p w14:paraId="6AC7A9DF" w14:textId="77777777" w:rsidR="006A1004" w:rsidRPr="00A11268" w:rsidRDefault="006A1004" w:rsidP="006A1004">
      <w:pPr>
        <w:pStyle w:val="Akapitzlist"/>
        <w:numPr>
          <w:ilvl w:val="2"/>
          <w:numId w:val="41"/>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zawarcie przez Osobę Uprawnioną ze Spółką umowy uczestnictwa w Programie Motywacyjnym („</w:t>
      </w:r>
      <w:r w:rsidRPr="00A11268">
        <w:rPr>
          <w:rFonts w:asciiTheme="majorHAnsi" w:hAnsiTheme="majorHAnsi" w:cstheme="majorHAnsi"/>
          <w:b/>
          <w:sz w:val="18"/>
          <w:szCs w:val="18"/>
        </w:rPr>
        <w:t>Umowa Uczestnictwa</w:t>
      </w:r>
      <w:r w:rsidRPr="00A11268">
        <w:rPr>
          <w:rFonts w:asciiTheme="majorHAnsi" w:hAnsiTheme="majorHAnsi" w:cstheme="majorHAnsi"/>
          <w:sz w:val="18"/>
          <w:szCs w:val="18"/>
        </w:rPr>
        <w:t>”), która to Umowa Uczestnictwa będzie regulować w szczególności prawa i obowiązki Uczestnika wynikające z Programu Motywacyjnego, w tym zobowiązanie Uczestnika do niezbywania objętych przez niego Warrantów Subskrypcyjnych bez uzyskania uprzedniej pisemnej zgody Spółki. Zarząd określi wzór Umowy Uczestnictwa w Regulaminie Programu Motywacyjnego.</w:t>
      </w:r>
    </w:p>
    <w:p w14:paraId="08CCB039" w14:textId="77777777" w:rsidR="006A1004" w:rsidRPr="00A11268" w:rsidRDefault="006A1004" w:rsidP="006A1004">
      <w:pPr>
        <w:pStyle w:val="Akapitzlist"/>
        <w:numPr>
          <w:ilvl w:val="1"/>
          <w:numId w:val="41"/>
        </w:numPr>
        <w:spacing w:after="120" w:line="240" w:lineRule="auto"/>
        <w:contextualSpacing w:val="0"/>
        <w:jc w:val="both"/>
        <w:rPr>
          <w:rFonts w:asciiTheme="majorHAnsi" w:hAnsiTheme="majorHAnsi" w:cstheme="majorHAnsi"/>
          <w:sz w:val="18"/>
          <w:szCs w:val="18"/>
        </w:rPr>
      </w:pPr>
      <w:r>
        <w:rPr>
          <w:rFonts w:asciiTheme="majorHAnsi" w:hAnsiTheme="majorHAnsi" w:cstheme="majorHAnsi"/>
          <w:sz w:val="18"/>
          <w:szCs w:val="18"/>
        </w:rPr>
        <w:t xml:space="preserve">Zarząd </w:t>
      </w:r>
      <w:r w:rsidRPr="00A11268">
        <w:rPr>
          <w:rFonts w:asciiTheme="majorHAnsi" w:hAnsiTheme="majorHAnsi" w:cstheme="majorHAnsi"/>
          <w:sz w:val="18"/>
          <w:szCs w:val="18"/>
        </w:rPr>
        <w:t>uprawniony jest do podjęcia więcej niż jednej Uchwały Włączającej, z zastrzeżeniem, że Uchwała Włączająca nie</w:t>
      </w:r>
      <w:r>
        <w:rPr>
          <w:rFonts w:asciiTheme="majorHAnsi" w:hAnsiTheme="majorHAnsi" w:cstheme="majorHAnsi"/>
          <w:sz w:val="18"/>
          <w:szCs w:val="18"/>
        </w:rPr>
        <w:t> </w:t>
      </w:r>
      <w:r w:rsidRPr="00A11268">
        <w:rPr>
          <w:rFonts w:asciiTheme="majorHAnsi" w:hAnsiTheme="majorHAnsi" w:cstheme="majorHAnsi"/>
          <w:sz w:val="18"/>
          <w:szCs w:val="18"/>
        </w:rPr>
        <w:t xml:space="preserve">może zostać podjęta przez </w:t>
      </w:r>
      <w:r>
        <w:rPr>
          <w:rFonts w:asciiTheme="majorHAnsi" w:hAnsiTheme="majorHAnsi" w:cstheme="majorHAnsi"/>
          <w:sz w:val="18"/>
          <w:szCs w:val="18"/>
        </w:rPr>
        <w:t>Zarząd</w:t>
      </w:r>
      <w:r w:rsidRPr="00A11268">
        <w:rPr>
          <w:rFonts w:asciiTheme="majorHAnsi" w:hAnsiTheme="majorHAnsi" w:cstheme="majorHAnsi"/>
          <w:sz w:val="18"/>
          <w:szCs w:val="18"/>
        </w:rPr>
        <w:t xml:space="preserve"> po dniu osiągnięcia </w:t>
      </w:r>
      <w:r>
        <w:rPr>
          <w:rFonts w:asciiTheme="majorHAnsi" w:hAnsiTheme="majorHAnsi" w:cstheme="majorHAnsi"/>
          <w:sz w:val="18"/>
          <w:szCs w:val="18"/>
        </w:rPr>
        <w:t xml:space="preserve">pierwszego z </w:t>
      </w:r>
      <w:r w:rsidRPr="00A11268">
        <w:rPr>
          <w:rFonts w:asciiTheme="majorHAnsi" w:hAnsiTheme="majorHAnsi" w:cstheme="majorHAnsi"/>
          <w:sz w:val="18"/>
          <w:szCs w:val="18"/>
        </w:rPr>
        <w:t>Cel</w:t>
      </w:r>
      <w:r>
        <w:rPr>
          <w:rFonts w:asciiTheme="majorHAnsi" w:hAnsiTheme="majorHAnsi" w:cstheme="majorHAnsi"/>
          <w:sz w:val="18"/>
          <w:szCs w:val="18"/>
        </w:rPr>
        <w:t>ów</w:t>
      </w:r>
      <w:r w:rsidRPr="00A11268">
        <w:rPr>
          <w:rFonts w:asciiTheme="majorHAnsi" w:hAnsiTheme="majorHAnsi" w:cstheme="majorHAnsi"/>
          <w:sz w:val="18"/>
          <w:szCs w:val="18"/>
        </w:rPr>
        <w:t xml:space="preserve"> Programu.</w:t>
      </w:r>
    </w:p>
    <w:p w14:paraId="2F9136E0" w14:textId="77777777" w:rsidR="006A1004" w:rsidRPr="00A11268" w:rsidRDefault="006A1004" w:rsidP="006A1004">
      <w:pPr>
        <w:pStyle w:val="Akapitzlist"/>
        <w:numPr>
          <w:ilvl w:val="1"/>
          <w:numId w:val="41"/>
        </w:numPr>
        <w:spacing w:after="120" w:line="240" w:lineRule="auto"/>
        <w:contextualSpacing w:val="0"/>
        <w:jc w:val="both"/>
        <w:rPr>
          <w:rFonts w:asciiTheme="majorHAnsi" w:hAnsiTheme="majorHAnsi" w:cstheme="majorHAnsi"/>
          <w:sz w:val="18"/>
          <w:szCs w:val="18"/>
        </w:rPr>
      </w:pPr>
      <w:r>
        <w:rPr>
          <w:rFonts w:asciiTheme="majorHAnsi" w:hAnsiTheme="majorHAnsi" w:cstheme="majorHAnsi"/>
          <w:sz w:val="18"/>
          <w:szCs w:val="18"/>
        </w:rPr>
        <w:t>Zarząd</w:t>
      </w:r>
      <w:r w:rsidRPr="00A11268">
        <w:rPr>
          <w:rFonts w:asciiTheme="majorHAnsi" w:hAnsiTheme="majorHAnsi" w:cstheme="majorHAnsi"/>
          <w:sz w:val="18"/>
          <w:szCs w:val="18"/>
        </w:rPr>
        <w:t xml:space="preserve"> poinformuje każdą Osobę Uprawnioną o zamiarze włączenia jej do Programu Motywacyjnego oraz skieruje do niej ofertę zawarcia Umowy Uczestnictwa w terminie 10 (dziesięciu) Dni Roboczych od dnia podjęcia właściwej Uchwały Włączającej.</w:t>
      </w:r>
    </w:p>
    <w:p w14:paraId="70F303BE" w14:textId="77777777" w:rsidR="006A1004" w:rsidRPr="00A11268" w:rsidRDefault="006A1004" w:rsidP="006A1004">
      <w:pPr>
        <w:pStyle w:val="Akapitzlist"/>
        <w:numPr>
          <w:ilvl w:val="1"/>
          <w:numId w:val="41"/>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Zawarcie Umowy Uczestnictwa nastąpi w trybie i terminie określonym w Regulaminie Programu Motywacyjnego.</w:t>
      </w:r>
    </w:p>
    <w:p w14:paraId="35E37E18" w14:textId="77777777" w:rsidR="006A1004" w:rsidRPr="00A11268" w:rsidRDefault="006A1004" w:rsidP="006A1004">
      <w:pPr>
        <w:pStyle w:val="Akapitzlist"/>
        <w:numPr>
          <w:ilvl w:val="1"/>
          <w:numId w:val="41"/>
        </w:numPr>
        <w:spacing w:after="120" w:line="240" w:lineRule="auto"/>
        <w:contextualSpacing w:val="0"/>
        <w:jc w:val="both"/>
        <w:rPr>
          <w:rFonts w:asciiTheme="majorHAnsi" w:hAnsiTheme="majorHAnsi" w:cstheme="majorHAnsi"/>
          <w:sz w:val="18"/>
          <w:szCs w:val="18"/>
        </w:rPr>
      </w:pPr>
      <w:r w:rsidRPr="00A11268">
        <w:rPr>
          <w:rFonts w:asciiTheme="majorHAnsi" w:eastAsia="Times New Roman" w:hAnsiTheme="majorHAnsi" w:cstheme="majorHAnsi"/>
          <w:sz w:val="18"/>
          <w:szCs w:val="18"/>
        </w:rPr>
        <w:t>Regulamin Programu Motywacyjnego może określać przypadki, w których</w:t>
      </w:r>
      <w:r>
        <w:rPr>
          <w:rFonts w:asciiTheme="majorHAnsi" w:eastAsia="Times New Roman" w:hAnsiTheme="majorHAnsi" w:cstheme="majorHAnsi"/>
          <w:sz w:val="18"/>
          <w:szCs w:val="18"/>
        </w:rPr>
        <w:t xml:space="preserve"> Zarząd </w:t>
      </w:r>
      <w:r w:rsidRPr="00A11268">
        <w:rPr>
          <w:rFonts w:asciiTheme="majorHAnsi" w:eastAsia="Times New Roman" w:hAnsiTheme="majorHAnsi" w:cstheme="majorHAnsi"/>
          <w:sz w:val="18"/>
          <w:szCs w:val="18"/>
        </w:rPr>
        <w:t>będzie uprawniony do wyłączenia Uczestnika z uczestnictwa w Programie Motywacyjnym i odebrania Uczestnikowi przyznanego mu Uprawnienia.</w:t>
      </w:r>
    </w:p>
    <w:p w14:paraId="7369321C"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25B462BF" w14:textId="77777777" w:rsidR="006A1004" w:rsidRPr="00A11268" w:rsidRDefault="006A1004" w:rsidP="006A1004">
      <w:pPr>
        <w:spacing w:after="120" w:line="240" w:lineRule="auto"/>
        <w:jc w:val="center"/>
        <w:rPr>
          <w:rFonts w:asciiTheme="majorHAnsi" w:hAnsiTheme="majorHAnsi" w:cstheme="majorHAnsi"/>
          <w:sz w:val="18"/>
          <w:szCs w:val="18"/>
        </w:rPr>
      </w:pPr>
      <w:r w:rsidRPr="00A11268">
        <w:rPr>
          <w:rFonts w:asciiTheme="majorHAnsi" w:hAnsiTheme="majorHAnsi" w:cstheme="majorHAnsi"/>
          <w:b/>
          <w:sz w:val="18"/>
          <w:szCs w:val="18"/>
        </w:rPr>
        <w:t>Przyznawanie Uprawnień</w:t>
      </w:r>
    </w:p>
    <w:p w14:paraId="143CF58F" w14:textId="77777777" w:rsidR="006A1004"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W ramach Programu Motywacyjnego </w:t>
      </w:r>
      <w:r>
        <w:rPr>
          <w:rFonts w:asciiTheme="majorHAnsi" w:hAnsiTheme="majorHAnsi" w:cstheme="majorHAnsi"/>
          <w:sz w:val="18"/>
          <w:szCs w:val="18"/>
        </w:rPr>
        <w:t>każdemu Uczestnikowi zostanie przyznane 1 (jedno) Uprawnienie BCX-CM-J, 1 (jedno) Uprawnienie BCX-EM oraz 1 (jedno) Uprawnienie BCX-CM-AD</w:t>
      </w:r>
      <w:r w:rsidRPr="00F213E2">
        <w:rPr>
          <w:rFonts w:asciiTheme="majorHAnsi" w:hAnsiTheme="majorHAnsi" w:cstheme="majorHAnsi"/>
          <w:sz w:val="18"/>
          <w:szCs w:val="18"/>
        </w:rPr>
        <w:t>, których wykonanie przez Uczestnik</w:t>
      </w:r>
      <w:r>
        <w:rPr>
          <w:rFonts w:asciiTheme="majorHAnsi" w:hAnsiTheme="majorHAnsi" w:cstheme="majorHAnsi"/>
          <w:sz w:val="18"/>
          <w:szCs w:val="18"/>
        </w:rPr>
        <w:t>a</w:t>
      </w:r>
      <w:r w:rsidRPr="00F213E2">
        <w:rPr>
          <w:rFonts w:asciiTheme="majorHAnsi" w:hAnsiTheme="majorHAnsi" w:cstheme="majorHAnsi"/>
          <w:sz w:val="18"/>
          <w:szCs w:val="18"/>
        </w:rPr>
        <w:t xml:space="preserve"> </w:t>
      </w:r>
      <w:r w:rsidRPr="00F213E2">
        <w:rPr>
          <w:rFonts w:asciiTheme="majorHAnsi" w:hAnsiTheme="majorHAnsi" w:cstheme="majorHAnsi"/>
          <w:sz w:val="18"/>
          <w:szCs w:val="18"/>
        </w:rPr>
        <w:lastRenderedPageBreak/>
        <w:t>jest</w:t>
      </w:r>
      <w:r>
        <w:rPr>
          <w:rFonts w:asciiTheme="majorHAnsi" w:hAnsiTheme="majorHAnsi" w:cstheme="majorHAnsi"/>
          <w:sz w:val="18"/>
          <w:szCs w:val="18"/>
        </w:rPr>
        <w:t> </w:t>
      </w:r>
      <w:r w:rsidRPr="00F213E2">
        <w:rPr>
          <w:rFonts w:asciiTheme="majorHAnsi" w:hAnsiTheme="majorHAnsi" w:cstheme="majorHAnsi"/>
          <w:sz w:val="18"/>
          <w:szCs w:val="18"/>
        </w:rPr>
        <w:t xml:space="preserve">uzależnione od wcześniejszego spełnienia </w:t>
      </w:r>
      <w:r>
        <w:rPr>
          <w:rFonts w:asciiTheme="majorHAnsi" w:hAnsiTheme="majorHAnsi" w:cstheme="majorHAnsi"/>
          <w:sz w:val="18"/>
          <w:szCs w:val="18"/>
        </w:rPr>
        <w:t xml:space="preserve">odpowiednio </w:t>
      </w:r>
      <w:r w:rsidRPr="00F213E2">
        <w:rPr>
          <w:rFonts w:asciiTheme="majorHAnsi" w:hAnsiTheme="majorHAnsi" w:cstheme="majorHAnsi"/>
          <w:sz w:val="18"/>
          <w:szCs w:val="18"/>
        </w:rPr>
        <w:t>Przesłanek Wykonania Uprawnień</w:t>
      </w:r>
      <w:r>
        <w:rPr>
          <w:rFonts w:asciiTheme="majorHAnsi" w:hAnsiTheme="majorHAnsi" w:cstheme="majorHAnsi"/>
          <w:sz w:val="18"/>
          <w:szCs w:val="18"/>
        </w:rPr>
        <w:t xml:space="preserve"> BCX-CM-J, </w:t>
      </w:r>
      <w:r w:rsidRPr="000A46FB">
        <w:rPr>
          <w:rFonts w:asciiTheme="majorHAnsi" w:hAnsiTheme="majorHAnsi" w:cstheme="majorHAnsi"/>
          <w:sz w:val="18"/>
          <w:szCs w:val="18"/>
        </w:rPr>
        <w:t>Przesłanek Wykonania Uprawnień</w:t>
      </w:r>
      <w:r>
        <w:rPr>
          <w:rFonts w:asciiTheme="majorHAnsi" w:hAnsiTheme="majorHAnsi" w:cstheme="majorHAnsi"/>
          <w:sz w:val="18"/>
          <w:szCs w:val="18"/>
        </w:rPr>
        <w:t xml:space="preserve"> BCX-EM oraz </w:t>
      </w:r>
      <w:r w:rsidRPr="000A46FB">
        <w:rPr>
          <w:rFonts w:asciiTheme="majorHAnsi" w:hAnsiTheme="majorHAnsi" w:cstheme="majorHAnsi"/>
          <w:sz w:val="18"/>
          <w:szCs w:val="18"/>
        </w:rPr>
        <w:t>Przesłanek Wykonania Uprawnień</w:t>
      </w:r>
      <w:r>
        <w:rPr>
          <w:rFonts w:asciiTheme="majorHAnsi" w:hAnsiTheme="majorHAnsi" w:cstheme="majorHAnsi"/>
          <w:sz w:val="18"/>
          <w:szCs w:val="18"/>
        </w:rPr>
        <w:t xml:space="preserve"> BCX-CM-AD.</w:t>
      </w:r>
    </w:p>
    <w:p w14:paraId="01A51CF6" w14:textId="77777777" w:rsidR="006A1004" w:rsidRPr="00F213E2"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Przyznanie Uprawnienia Uczestnikowi następuje na podstawie i z chwilą zawarcia Umowy Uczestnictwa.</w:t>
      </w:r>
    </w:p>
    <w:p w14:paraId="3654AAB6" w14:textId="77777777" w:rsidR="006A1004" w:rsidRPr="00F213E2"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Uprawnienia jako prawa o charakterze osobistym nie podlegają dziedziczeniu.</w:t>
      </w:r>
    </w:p>
    <w:p w14:paraId="6925DB70" w14:textId="77777777" w:rsidR="006A1004" w:rsidRPr="00A11268"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Uprawnienie</w:t>
      </w:r>
      <w:r>
        <w:rPr>
          <w:rFonts w:asciiTheme="majorHAnsi" w:hAnsiTheme="majorHAnsi" w:cstheme="majorHAnsi"/>
          <w:sz w:val="18"/>
          <w:szCs w:val="18"/>
        </w:rPr>
        <w:t xml:space="preserve"> BCX-CM-J</w:t>
      </w:r>
      <w:r w:rsidRPr="00A11268">
        <w:rPr>
          <w:rFonts w:asciiTheme="majorHAnsi" w:hAnsiTheme="majorHAnsi" w:cstheme="majorHAnsi"/>
          <w:sz w:val="18"/>
          <w:szCs w:val="18"/>
        </w:rPr>
        <w:t xml:space="preserve"> uprawnia Uczestnika do nieodpłatnego objęcia Warrantów Subskrypcyjnych w liczbie uzgodnionej według następującego wzoru:</w:t>
      </w:r>
    </w:p>
    <w:p w14:paraId="6C603C64" w14:textId="77777777" w:rsidR="006A1004" w:rsidRPr="00A11268" w:rsidRDefault="006A1004" w:rsidP="006A1004">
      <w:pPr>
        <w:pStyle w:val="Akapitzlist"/>
        <w:spacing w:after="120" w:line="240" w:lineRule="auto"/>
        <w:ind w:left="284"/>
        <w:contextualSpacing w:val="0"/>
        <w:jc w:val="center"/>
        <w:rPr>
          <w:rFonts w:asciiTheme="majorHAnsi" w:hAnsiTheme="majorHAnsi" w:cstheme="majorHAnsi"/>
          <w:sz w:val="18"/>
          <w:szCs w:val="18"/>
        </w:rPr>
      </w:pPr>
      <w:r w:rsidRPr="00A11268">
        <w:rPr>
          <w:rFonts w:asciiTheme="majorHAnsi" w:hAnsiTheme="majorHAnsi" w:cstheme="majorHAnsi"/>
          <w:sz w:val="18"/>
          <w:szCs w:val="18"/>
        </w:rPr>
        <w:t xml:space="preserve">LWS = (SZU / SZWU) x </w:t>
      </w:r>
      <w:r w:rsidRPr="00A1273B">
        <w:rPr>
          <w:rFonts w:asciiTheme="majorHAnsi" w:hAnsiTheme="majorHAnsi" w:cstheme="majorHAnsi"/>
          <w:sz w:val="18"/>
          <w:szCs w:val="18"/>
        </w:rPr>
        <w:t>123</w:t>
      </w:r>
      <w:r>
        <w:rPr>
          <w:rFonts w:asciiTheme="majorHAnsi" w:hAnsiTheme="majorHAnsi" w:cstheme="majorHAnsi"/>
          <w:sz w:val="18"/>
          <w:szCs w:val="18"/>
        </w:rPr>
        <w:t>.</w:t>
      </w:r>
      <w:r w:rsidRPr="00A1273B">
        <w:rPr>
          <w:rFonts w:asciiTheme="majorHAnsi" w:hAnsiTheme="majorHAnsi" w:cstheme="majorHAnsi"/>
          <w:sz w:val="18"/>
          <w:szCs w:val="18"/>
        </w:rPr>
        <w:t>91</w:t>
      </w:r>
      <w:r>
        <w:rPr>
          <w:rFonts w:asciiTheme="majorHAnsi" w:hAnsiTheme="majorHAnsi" w:cstheme="majorHAnsi"/>
          <w:sz w:val="18"/>
          <w:szCs w:val="18"/>
        </w:rPr>
        <w:t>3</w:t>
      </w:r>
    </w:p>
    <w:p w14:paraId="42F9A6F6"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gdzie:</w:t>
      </w:r>
    </w:p>
    <w:tbl>
      <w:tblPr>
        <w:tblStyle w:val="Tabela-Siatk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654"/>
      </w:tblGrid>
      <w:tr w:rsidR="006A1004" w:rsidRPr="00A11268" w14:paraId="1A8A7576" w14:textId="77777777" w:rsidTr="0063484D">
        <w:tc>
          <w:tcPr>
            <w:tcW w:w="1134" w:type="dxa"/>
          </w:tcPr>
          <w:p w14:paraId="7E871516"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LWS</w:t>
            </w:r>
          </w:p>
        </w:tc>
        <w:tc>
          <w:tcPr>
            <w:tcW w:w="7654" w:type="dxa"/>
          </w:tcPr>
          <w:p w14:paraId="1F40F883"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oznacza liczbę Warrantów Subskrypcyjnych, do objęcia których w wykonaniu Uprawnienia </w:t>
            </w:r>
            <w:r>
              <w:rPr>
                <w:rFonts w:asciiTheme="majorHAnsi" w:hAnsiTheme="majorHAnsi" w:cstheme="majorHAnsi"/>
                <w:sz w:val="18"/>
                <w:szCs w:val="18"/>
              </w:rPr>
              <w:t xml:space="preserve">BCX-CM-J </w:t>
            </w:r>
            <w:r w:rsidRPr="00A11268">
              <w:rPr>
                <w:rFonts w:asciiTheme="majorHAnsi" w:hAnsiTheme="majorHAnsi" w:cstheme="majorHAnsi"/>
                <w:sz w:val="18"/>
                <w:szCs w:val="18"/>
              </w:rPr>
              <w:t>uprawniony jest Uczestnik;</w:t>
            </w:r>
            <w:r>
              <w:rPr>
                <w:rFonts w:asciiTheme="majorHAnsi" w:hAnsiTheme="majorHAnsi" w:cstheme="majorHAnsi"/>
                <w:sz w:val="18"/>
                <w:szCs w:val="18"/>
              </w:rPr>
              <w:t xml:space="preserve"> </w:t>
            </w:r>
          </w:p>
        </w:tc>
      </w:tr>
      <w:tr w:rsidR="006A1004" w:rsidRPr="00A11268" w14:paraId="227CBBA5" w14:textId="77777777" w:rsidTr="0063484D">
        <w:trPr>
          <w:trHeight w:val="68"/>
        </w:trPr>
        <w:tc>
          <w:tcPr>
            <w:tcW w:w="1134" w:type="dxa"/>
          </w:tcPr>
          <w:p w14:paraId="4CC8E85D"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SZU</w:t>
            </w:r>
          </w:p>
        </w:tc>
        <w:tc>
          <w:tcPr>
            <w:tcW w:w="7654" w:type="dxa"/>
          </w:tcPr>
          <w:p w14:paraId="52870FFA"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Uczestnika;</w:t>
            </w:r>
          </w:p>
        </w:tc>
      </w:tr>
      <w:tr w:rsidR="006A1004" w:rsidRPr="00A11268" w14:paraId="4ADE9034" w14:textId="77777777" w:rsidTr="0063484D">
        <w:tc>
          <w:tcPr>
            <w:tcW w:w="1134" w:type="dxa"/>
          </w:tcPr>
          <w:p w14:paraId="263769E8"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SZWU</w:t>
            </w:r>
          </w:p>
        </w:tc>
        <w:tc>
          <w:tcPr>
            <w:tcW w:w="7654" w:type="dxa"/>
          </w:tcPr>
          <w:p w14:paraId="36E6AF44"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wszystkich Uczestników, którzy spełnili Przesłanki Wykonania Uprawnień</w:t>
            </w:r>
            <w:r>
              <w:rPr>
                <w:rFonts w:asciiTheme="majorHAnsi" w:hAnsiTheme="majorHAnsi" w:cstheme="majorHAnsi"/>
                <w:sz w:val="18"/>
                <w:szCs w:val="18"/>
              </w:rPr>
              <w:t xml:space="preserve"> BCX</w:t>
            </w:r>
            <w:r>
              <w:rPr>
                <w:rFonts w:asciiTheme="majorHAnsi" w:hAnsiTheme="majorHAnsi" w:cstheme="majorHAnsi"/>
                <w:sz w:val="18"/>
                <w:szCs w:val="18"/>
              </w:rPr>
              <w:noBreakHyphen/>
              <w:t>CM-J</w:t>
            </w:r>
            <w:r w:rsidRPr="00A11268">
              <w:rPr>
                <w:rFonts w:asciiTheme="majorHAnsi" w:hAnsiTheme="majorHAnsi" w:cstheme="majorHAnsi"/>
                <w:sz w:val="18"/>
                <w:szCs w:val="18"/>
              </w:rPr>
              <w:t>.</w:t>
            </w:r>
          </w:p>
        </w:tc>
      </w:tr>
    </w:tbl>
    <w:p w14:paraId="574F0630"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przy czym:</w:t>
      </w:r>
    </w:p>
    <w:p w14:paraId="0DAD3D7A"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wynik powyższego działania zostanie każdorazowo zaokrąglony w dół do pełnej liczby całkowitej;</w:t>
      </w:r>
    </w:p>
    <w:p w14:paraId="4A1C2339"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Warranty Subskrypcyjne nieprzypisane do Uprawnień </w:t>
      </w:r>
      <w:r>
        <w:rPr>
          <w:rFonts w:asciiTheme="majorHAnsi" w:hAnsiTheme="majorHAnsi" w:cstheme="majorHAnsi"/>
          <w:sz w:val="18"/>
          <w:szCs w:val="18"/>
        </w:rPr>
        <w:t>BCX-CM-J</w:t>
      </w:r>
      <w:r w:rsidRPr="00A11268">
        <w:rPr>
          <w:rFonts w:asciiTheme="majorHAnsi" w:hAnsiTheme="majorHAnsi" w:cstheme="majorHAnsi"/>
          <w:sz w:val="18"/>
          <w:szCs w:val="18"/>
        </w:rPr>
        <w:t xml:space="preserve"> wskutek dokonania ww. zaokrągleń będą przypisywane kolejno Uprawnieniom </w:t>
      </w:r>
      <w:r>
        <w:rPr>
          <w:rFonts w:asciiTheme="majorHAnsi" w:hAnsiTheme="majorHAnsi" w:cstheme="majorHAnsi"/>
          <w:sz w:val="18"/>
          <w:szCs w:val="18"/>
        </w:rPr>
        <w:t>BCX-CM-J</w:t>
      </w:r>
      <w:r w:rsidRPr="00A11268">
        <w:rPr>
          <w:rFonts w:asciiTheme="majorHAnsi" w:hAnsiTheme="majorHAnsi" w:cstheme="majorHAnsi"/>
          <w:sz w:val="18"/>
          <w:szCs w:val="18"/>
        </w:rPr>
        <w:t xml:space="preserve"> posiadanym przez Uczestników</w:t>
      </w:r>
      <w:r>
        <w:rPr>
          <w:rFonts w:asciiTheme="majorHAnsi" w:hAnsiTheme="majorHAnsi" w:cstheme="majorHAnsi"/>
          <w:sz w:val="18"/>
          <w:szCs w:val="18"/>
        </w:rPr>
        <w:t xml:space="preserve"> </w:t>
      </w:r>
      <w:r w:rsidRPr="00A11268">
        <w:rPr>
          <w:rFonts w:asciiTheme="majorHAnsi" w:hAnsiTheme="majorHAnsi" w:cstheme="majorHAnsi"/>
          <w:sz w:val="18"/>
          <w:szCs w:val="18"/>
        </w:rPr>
        <w:t xml:space="preserve">posiadających największe, niepokryte części ułamkowe wyniku uzyskanego zgodnie z powyższym wzorem, aż do przypisania wszystkich Warrantów Subskrypcyjnych </w:t>
      </w:r>
      <w:r>
        <w:rPr>
          <w:rFonts w:asciiTheme="majorHAnsi" w:hAnsiTheme="majorHAnsi" w:cstheme="majorHAnsi"/>
          <w:sz w:val="18"/>
          <w:szCs w:val="18"/>
        </w:rPr>
        <w:t>możliwych do objęcia w wykonaniu Uprawnień BCX-CM-J</w:t>
      </w:r>
      <w:r w:rsidRPr="00A11268">
        <w:rPr>
          <w:rFonts w:asciiTheme="majorHAnsi" w:hAnsiTheme="majorHAnsi" w:cstheme="majorHAnsi"/>
          <w:sz w:val="18"/>
          <w:szCs w:val="18"/>
        </w:rPr>
        <w:t xml:space="preserve">, tj. </w:t>
      </w:r>
      <w:r w:rsidRPr="00A1273B">
        <w:rPr>
          <w:rFonts w:asciiTheme="majorHAnsi" w:hAnsiTheme="majorHAnsi" w:cstheme="majorHAnsi"/>
          <w:sz w:val="18"/>
          <w:szCs w:val="18"/>
        </w:rPr>
        <w:t xml:space="preserve"> 123</w:t>
      </w:r>
      <w:r>
        <w:rPr>
          <w:rFonts w:asciiTheme="majorHAnsi" w:hAnsiTheme="majorHAnsi" w:cstheme="majorHAnsi"/>
          <w:sz w:val="18"/>
          <w:szCs w:val="18"/>
        </w:rPr>
        <w:t>.</w:t>
      </w:r>
      <w:r w:rsidRPr="00A1273B">
        <w:rPr>
          <w:rFonts w:asciiTheme="majorHAnsi" w:hAnsiTheme="majorHAnsi" w:cstheme="majorHAnsi"/>
          <w:sz w:val="18"/>
          <w:szCs w:val="18"/>
        </w:rPr>
        <w:t>91</w:t>
      </w:r>
      <w:r>
        <w:rPr>
          <w:rFonts w:asciiTheme="majorHAnsi" w:hAnsiTheme="majorHAnsi" w:cstheme="majorHAnsi"/>
          <w:sz w:val="18"/>
          <w:szCs w:val="18"/>
        </w:rPr>
        <w:t>3 (sto dwadzieścia trzy tysiące dziewięćset trzynaście)</w:t>
      </w:r>
      <w:r w:rsidRPr="00A11268">
        <w:rPr>
          <w:rFonts w:asciiTheme="majorHAnsi" w:hAnsiTheme="majorHAnsi" w:cstheme="majorHAnsi"/>
          <w:sz w:val="18"/>
          <w:szCs w:val="18"/>
        </w:rPr>
        <w:t xml:space="preserve"> Warrantów Subskrypcyjnych;</w:t>
      </w:r>
    </w:p>
    <w:p w14:paraId="34801A80"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 przypadku, gdy kilku Uczestników posiadać będzie równą, niepokrytą część wyniku</w:t>
      </w:r>
      <w:r>
        <w:rPr>
          <w:rFonts w:asciiTheme="majorHAnsi" w:hAnsiTheme="majorHAnsi" w:cstheme="majorHAnsi"/>
          <w:sz w:val="18"/>
          <w:szCs w:val="18"/>
        </w:rPr>
        <w:t xml:space="preserve"> </w:t>
      </w:r>
      <w:r w:rsidRPr="00A11268">
        <w:rPr>
          <w:rFonts w:asciiTheme="majorHAnsi" w:hAnsiTheme="majorHAnsi" w:cstheme="majorHAnsi"/>
          <w:sz w:val="18"/>
          <w:szCs w:val="18"/>
        </w:rPr>
        <w:t xml:space="preserve">uzyskanego zgodnie z powyższym wzorem, decyzja o kolejności przypisania Uczestnikom pozostałych Warrantów Subskrypcyjnych </w:t>
      </w:r>
      <w:r>
        <w:rPr>
          <w:rFonts w:asciiTheme="majorHAnsi" w:hAnsiTheme="majorHAnsi" w:cstheme="majorHAnsi"/>
          <w:sz w:val="18"/>
          <w:szCs w:val="18"/>
        </w:rPr>
        <w:t xml:space="preserve">możliwych do objęcia w wykonaniu Uprawnień BCX-CM-J </w:t>
      </w:r>
      <w:r w:rsidRPr="00A11268">
        <w:rPr>
          <w:rFonts w:asciiTheme="majorHAnsi" w:hAnsiTheme="majorHAnsi" w:cstheme="majorHAnsi"/>
          <w:sz w:val="18"/>
          <w:szCs w:val="18"/>
        </w:rPr>
        <w:t>zostanie podjęta przez Zarząd według jego swobodnego uznania.</w:t>
      </w:r>
    </w:p>
    <w:p w14:paraId="31855D58" w14:textId="77777777" w:rsidR="006A1004" w:rsidRPr="00A11268"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bookmarkStart w:id="0" w:name="_Ref234920201"/>
      <w:r w:rsidRPr="00A11268">
        <w:rPr>
          <w:rFonts w:asciiTheme="majorHAnsi" w:hAnsiTheme="majorHAnsi" w:cstheme="majorHAnsi"/>
          <w:sz w:val="18"/>
          <w:szCs w:val="18"/>
        </w:rPr>
        <w:t>Uprawnienie</w:t>
      </w:r>
      <w:r>
        <w:rPr>
          <w:rFonts w:asciiTheme="majorHAnsi" w:hAnsiTheme="majorHAnsi" w:cstheme="majorHAnsi"/>
          <w:sz w:val="18"/>
          <w:szCs w:val="18"/>
        </w:rPr>
        <w:t xml:space="preserve"> BCX-EM</w:t>
      </w:r>
      <w:r w:rsidRPr="00A11268">
        <w:rPr>
          <w:rFonts w:asciiTheme="majorHAnsi" w:hAnsiTheme="majorHAnsi" w:cstheme="majorHAnsi"/>
          <w:sz w:val="18"/>
          <w:szCs w:val="18"/>
        </w:rPr>
        <w:t xml:space="preserve"> uprawnia Uczestnika do nieodpłatnego objęcia Warrantów Subskrypcyjnych w liczbie uzgodnionej według następującego wzoru:</w:t>
      </w:r>
      <w:bookmarkEnd w:id="0"/>
    </w:p>
    <w:p w14:paraId="645ABF53" w14:textId="77777777" w:rsidR="006A1004" w:rsidRPr="00A11268" w:rsidRDefault="006A1004" w:rsidP="006A1004">
      <w:pPr>
        <w:pStyle w:val="Akapitzlist"/>
        <w:spacing w:after="120" w:line="240" w:lineRule="auto"/>
        <w:ind w:left="284"/>
        <w:contextualSpacing w:val="0"/>
        <w:jc w:val="center"/>
        <w:rPr>
          <w:rFonts w:asciiTheme="majorHAnsi" w:hAnsiTheme="majorHAnsi" w:cstheme="majorHAnsi"/>
          <w:sz w:val="18"/>
          <w:szCs w:val="18"/>
        </w:rPr>
      </w:pPr>
      <w:r w:rsidRPr="00A11268">
        <w:rPr>
          <w:rFonts w:asciiTheme="majorHAnsi" w:hAnsiTheme="majorHAnsi" w:cstheme="majorHAnsi"/>
          <w:sz w:val="18"/>
          <w:szCs w:val="18"/>
        </w:rPr>
        <w:t xml:space="preserve">LWS = (SZU / SZWU) x </w:t>
      </w:r>
      <w:r w:rsidRPr="00D63916">
        <w:rPr>
          <w:rFonts w:asciiTheme="majorHAnsi" w:hAnsiTheme="majorHAnsi" w:cstheme="majorHAnsi"/>
          <w:sz w:val="18"/>
          <w:szCs w:val="18"/>
        </w:rPr>
        <w:t>74</w:t>
      </w:r>
      <w:r>
        <w:rPr>
          <w:rFonts w:asciiTheme="majorHAnsi" w:hAnsiTheme="majorHAnsi" w:cstheme="majorHAnsi"/>
          <w:sz w:val="18"/>
          <w:szCs w:val="18"/>
        </w:rPr>
        <w:t>.</w:t>
      </w:r>
      <w:r w:rsidRPr="00D63916">
        <w:rPr>
          <w:rFonts w:asciiTheme="majorHAnsi" w:hAnsiTheme="majorHAnsi" w:cstheme="majorHAnsi"/>
          <w:sz w:val="18"/>
          <w:szCs w:val="18"/>
        </w:rPr>
        <w:t>347</w:t>
      </w:r>
    </w:p>
    <w:p w14:paraId="086AC280"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gdzie:</w:t>
      </w:r>
    </w:p>
    <w:tbl>
      <w:tblPr>
        <w:tblStyle w:val="Tabela-Siatk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654"/>
      </w:tblGrid>
      <w:tr w:rsidR="006A1004" w:rsidRPr="00A11268" w14:paraId="0750F6C3" w14:textId="77777777" w:rsidTr="0063484D">
        <w:tc>
          <w:tcPr>
            <w:tcW w:w="1134" w:type="dxa"/>
          </w:tcPr>
          <w:p w14:paraId="02B458D5"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LWS</w:t>
            </w:r>
          </w:p>
        </w:tc>
        <w:tc>
          <w:tcPr>
            <w:tcW w:w="7654" w:type="dxa"/>
          </w:tcPr>
          <w:p w14:paraId="5BC09CEC"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oznacza liczbę Warrantów Subskrypcyjnych, do objęcia których w wykonaniu Uprawnienia </w:t>
            </w:r>
            <w:r>
              <w:rPr>
                <w:rFonts w:asciiTheme="majorHAnsi" w:hAnsiTheme="majorHAnsi" w:cstheme="majorHAnsi"/>
                <w:sz w:val="18"/>
                <w:szCs w:val="18"/>
              </w:rPr>
              <w:t xml:space="preserve">BCX-EM </w:t>
            </w:r>
            <w:r w:rsidRPr="00A11268">
              <w:rPr>
                <w:rFonts w:asciiTheme="majorHAnsi" w:hAnsiTheme="majorHAnsi" w:cstheme="majorHAnsi"/>
                <w:sz w:val="18"/>
                <w:szCs w:val="18"/>
              </w:rPr>
              <w:t>uprawniony jest Uczestnik;</w:t>
            </w:r>
          </w:p>
        </w:tc>
      </w:tr>
      <w:tr w:rsidR="006A1004" w:rsidRPr="00A11268" w14:paraId="2D76B5D1" w14:textId="77777777" w:rsidTr="0063484D">
        <w:trPr>
          <w:trHeight w:val="68"/>
        </w:trPr>
        <w:tc>
          <w:tcPr>
            <w:tcW w:w="1134" w:type="dxa"/>
          </w:tcPr>
          <w:p w14:paraId="481745F8"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SZU</w:t>
            </w:r>
          </w:p>
        </w:tc>
        <w:tc>
          <w:tcPr>
            <w:tcW w:w="7654" w:type="dxa"/>
          </w:tcPr>
          <w:p w14:paraId="3FE41E99"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Uczestnika;</w:t>
            </w:r>
          </w:p>
        </w:tc>
      </w:tr>
      <w:tr w:rsidR="006A1004" w:rsidRPr="00A11268" w14:paraId="6262156B" w14:textId="77777777" w:rsidTr="0063484D">
        <w:tc>
          <w:tcPr>
            <w:tcW w:w="1134" w:type="dxa"/>
          </w:tcPr>
          <w:p w14:paraId="3E29CB6C"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SZWU</w:t>
            </w:r>
          </w:p>
        </w:tc>
        <w:tc>
          <w:tcPr>
            <w:tcW w:w="7654" w:type="dxa"/>
          </w:tcPr>
          <w:p w14:paraId="646DC66C"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wszystkich Uczestników, którzy spełnili Przesłanki Wykonania Uprawnień</w:t>
            </w:r>
            <w:r>
              <w:rPr>
                <w:rFonts w:asciiTheme="majorHAnsi" w:hAnsiTheme="majorHAnsi" w:cstheme="majorHAnsi"/>
                <w:sz w:val="18"/>
                <w:szCs w:val="18"/>
              </w:rPr>
              <w:t xml:space="preserve"> BCX</w:t>
            </w:r>
            <w:r>
              <w:rPr>
                <w:rFonts w:asciiTheme="majorHAnsi" w:hAnsiTheme="majorHAnsi" w:cstheme="majorHAnsi"/>
                <w:sz w:val="18"/>
                <w:szCs w:val="18"/>
              </w:rPr>
              <w:noBreakHyphen/>
              <w:t>EM</w:t>
            </w:r>
            <w:r w:rsidRPr="00A11268">
              <w:rPr>
                <w:rFonts w:asciiTheme="majorHAnsi" w:hAnsiTheme="majorHAnsi" w:cstheme="majorHAnsi"/>
                <w:sz w:val="18"/>
                <w:szCs w:val="18"/>
              </w:rPr>
              <w:t>.</w:t>
            </w:r>
          </w:p>
        </w:tc>
      </w:tr>
    </w:tbl>
    <w:p w14:paraId="67DC9132"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przy czym:</w:t>
      </w:r>
    </w:p>
    <w:p w14:paraId="13BB1783"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wynik powyższego działania zostanie każdorazowo zaokrąglony w dół do pełnej liczby całkowitej;</w:t>
      </w:r>
    </w:p>
    <w:p w14:paraId="0B81C918"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Warranty Subskrypcyjne nieprzypisane do Uprawnień </w:t>
      </w:r>
      <w:r>
        <w:rPr>
          <w:rFonts w:asciiTheme="majorHAnsi" w:hAnsiTheme="majorHAnsi" w:cstheme="majorHAnsi"/>
          <w:sz w:val="18"/>
          <w:szCs w:val="18"/>
        </w:rPr>
        <w:t>BCX-EM</w:t>
      </w:r>
      <w:r w:rsidRPr="00A11268">
        <w:rPr>
          <w:rFonts w:asciiTheme="majorHAnsi" w:hAnsiTheme="majorHAnsi" w:cstheme="majorHAnsi"/>
          <w:sz w:val="18"/>
          <w:szCs w:val="18"/>
        </w:rPr>
        <w:t xml:space="preserve"> wskutek dokonania ww. zaokrągleń będą przypisywane kolejno Uprawnieniom </w:t>
      </w:r>
      <w:r>
        <w:rPr>
          <w:rFonts w:asciiTheme="majorHAnsi" w:hAnsiTheme="majorHAnsi" w:cstheme="majorHAnsi"/>
          <w:sz w:val="18"/>
          <w:szCs w:val="18"/>
        </w:rPr>
        <w:t>BCX-EM</w:t>
      </w:r>
      <w:r w:rsidRPr="00A11268">
        <w:rPr>
          <w:rFonts w:asciiTheme="majorHAnsi" w:hAnsiTheme="majorHAnsi" w:cstheme="majorHAnsi"/>
          <w:sz w:val="18"/>
          <w:szCs w:val="18"/>
        </w:rPr>
        <w:t xml:space="preserve"> posiadanym przez Uczestników</w:t>
      </w:r>
      <w:r>
        <w:rPr>
          <w:rFonts w:asciiTheme="majorHAnsi" w:hAnsiTheme="majorHAnsi" w:cstheme="majorHAnsi"/>
          <w:sz w:val="18"/>
          <w:szCs w:val="18"/>
        </w:rPr>
        <w:t xml:space="preserve"> </w:t>
      </w:r>
      <w:r w:rsidRPr="00A11268">
        <w:rPr>
          <w:rFonts w:asciiTheme="majorHAnsi" w:hAnsiTheme="majorHAnsi" w:cstheme="majorHAnsi"/>
          <w:sz w:val="18"/>
          <w:szCs w:val="18"/>
        </w:rPr>
        <w:t xml:space="preserve">posiadających największe, niepokryte części ułamkowe wyniku uzyskanego zgodnie z powyższym wzorem, aż do przypisania wszystkich Warrantów Subskrypcyjnych </w:t>
      </w:r>
      <w:r>
        <w:rPr>
          <w:rFonts w:asciiTheme="majorHAnsi" w:hAnsiTheme="majorHAnsi" w:cstheme="majorHAnsi"/>
          <w:sz w:val="18"/>
          <w:szCs w:val="18"/>
        </w:rPr>
        <w:t>możliwych do objęcia w wykonaniu Uprawnień BCX-EM</w:t>
      </w:r>
      <w:r w:rsidRPr="00A11268">
        <w:rPr>
          <w:rFonts w:asciiTheme="majorHAnsi" w:hAnsiTheme="majorHAnsi" w:cstheme="majorHAnsi"/>
          <w:sz w:val="18"/>
          <w:szCs w:val="18"/>
        </w:rPr>
        <w:t xml:space="preserve">, tj. </w:t>
      </w:r>
      <w:r w:rsidRPr="00D63916">
        <w:rPr>
          <w:rFonts w:asciiTheme="majorHAnsi" w:hAnsiTheme="majorHAnsi" w:cstheme="majorHAnsi"/>
          <w:sz w:val="18"/>
          <w:szCs w:val="18"/>
        </w:rPr>
        <w:t>74</w:t>
      </w:r>
      <w:r>
        <w:rPr>
          <w:rFonts w:asciiTheme="majorHAnsi" w:hAnsiTheme="majorHAnsi" w:cstheme="majorHAnsi"/>
          <w:sz w:val="18"/>
          <w:szCs w:val="18"/>
        </w:rPr>
        <w:t>.</w:t>
      </w:r>
      <w:r w:rsidRPr="00D63916">
        <w:rPr>
          <w:rFonts w:asciiTheme="majorHAnsi" w:hAnsiTheme="majorHAnsi" w:cstheme="majorHAnsi"/>
          <w:sz w:val="18"/>
          <w:szCs w:val="18"/>
        </w:rPr>
        <w:t>347</w:t>
      </w:r>
      <w:r>
        <w:rPr>
          <w:rFonts w:asciiTheme="majorHAnsi" w:hAnsiTheme="majorHAnsi" w:cstheme="majorHAnsi"/>
          <w:sz w:val="18"/>
          <w:szCs w:val="18"/>
        </w:rPr>
        <w:t xml:space="preserve"> (siedemdziesiąt cztery tysiące trzysta czterdzieści siedem)</w:t>
      </w:r>
      <w:r w:rsidRPr="00A11268">
        <w:rPr>
          <w:rFonts w:asciiTheme="majorHAnsi" w:hAnsiTheme="majorHAnsi" w:cstheme="majorHAnsi"/>
          <w:sz w:val="18"/>
          <w:szCs w:val="18"/>
        </w:rPr>
        <w:t xml:space="preserve"> Warrantów Subskrypcyjnych;</w:t>
      </w:r>
    </w:p>
    <w:p w14:paraId="0D0C62A8"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 przypadku, gdy kilku Uczestników posiadać będzie równą, niepokrytą część wyniku</w:t>
      </w:r>
      <w:r>
        <w:rPr>
          <w:rFonts w:asciiTheme="majorHAnsi" w:hAnsiTheme="majorHAnsi" w:cstheme="majorHAnsi"/>
          <w:sz w:val="18"/>
          <w:szCs w:val="18"/>
        </w:rPr>
        <w:t xml:space="preserve"> </w:t>
      </w:r>
      <w:r w:rsidRPr="00A11268">
        <w:rPr>
          <w:rFonts w:asciiTheme="majorHAnsi" w:hAnsiTheme="majorHAnsi" w:cstheme="majorHAnsi"/>
          <w:sz w:val="18"/>
          <w:szCs w:val="18"/>
        </w:rPr>
        <w:t xml:space="preserve">uzyskanego zgodnie z powyższym wzorem, decyzja o kolejności przypisania Uczestnikom pozostałych Warrantów Subskrypcyjnych </w:t>
      </w:r>
      <w:r>
        <w:rPr>
          <w:rFonts w:asciiTheme="majorHAnsi" w:hAnsiTheme="majorHAnsi" w:cstheme="majorHAnsi"/>
          <w:sz w:val="18"/>
          <w:szCs w:val="18"/>
        </w:rPr>
        <w:t xml:space="preserve">możliwych do objęcia w wykonaniu Uprawnień BCX-EM </w:t>
      </w:r>
      <w:r w:rsidRPr="00A11268">
        <w:rPr>
          <w:rFonts w:asciiTheme="majorHAnsi" w:hAnsiTheme="majorHAnsi" w:cstheme="majorHAnsi"/>
          <w:sz w:val="18"/>
          <w:szCs w:val="18"/>
        </w:rPr>
        <w:t>zostanie podjęta przez Zarząd według jego swobodnego uznania.</w:t>
      </w:r>
    </w:p>
    <w:p w14:paraId="2F317EB4" w14:textId="77777777" w:rsidR="006A1004" w:rsidRPr="00A11268"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bookmarkStart w:id="1" w:name="_Ref234920325"/>
      <w:r w:rsidRPr="00A11268">
        <w:rPr>
          <w:rFonts w:asciiTheme="majorHAnsi" w:hAnsiTheme="majorHAnsi" w:cstheme="majorHAnsi"/>
          <w:sz w:val="18"/>
          <w:szCs w:val="18"/>
        </w:rPr>
        <w:t>Uprawnienie</w:t>
      </w:r>
      <w:r>
        <w:rPr>
          <w:rFonts w:asciiTheme="majorHAnsi" w:hAnsiTheme="majorHAnsi" w:cstheme="majorHAnsi"/>
          <w:sz w:val="18"/>
          <w:szCs w:val="18"/>
        </w:rPr>
        <w:t xml:space="preserve"> BCX-CM-AD</w:t>
      </w:r>
      <w:r w:rsidRPr="00A11268">
        <w:rPr>
          <w:rFonts w:asciiTheme="majorHAnsi" w:hAnsiTheme="majorHAnsi" w:cstheme="majorHAnsi"/>
          <w:sz w:val="18"/>
          <w:szCs w:val="18"/>
        </w:rPr>
        <w:t xml:space="preserve"> uprawnia Uczestnika do nieodpłatnego objęcia Warrantów Subskrypcyjnych w liczbie uzgodnionej według następującego wzoru:</w:t>
      </w:r>
      <w:bookmarkEnd w:id="1"/>
    </w:p>
    <w:p w14:paraId="18D697A9" w14:textId="77777777" w:rsidR="006A1004" w:rsidRPr="00A11268" w:rsidRDefault="006A1004" w:rsidP="006A1004">
      <w:pPr>
        <w:pStyle w:val="Akapitzlist"/>
        <w:spacing w:after="120" w:line="240" w:lineRule="auto"/>
        <w:ind w:left="284"/>
        <w:contextualSpacing w:val="0"/>
        <w:jc w:val="center"/>
        <w:rPr>
          <w:rFonts w:asciiTheme="majorHAnsi" w:hAnsiTheme="majorHAnsi" w:cstheme="majorHAnsi"/>
          <w:sz w:val="18"/>
          <w:szCs w:val="18"/>
        </w:rPr>
      </w:pPr>
      <w:r w:rsidRPr="00A11268">
        <w:rPr>
          <w:rFonts w:asciiTheme="majorHAnsi" w:hAnsiTheme="majorHAnsi" w:cstheme="majorHAnsi"/>
          <w:sz w:val="18"/>
          <w:szCs w:val="18"/>
        </w:rPr>
        <w:t xml:space="preserve">LWS = (SZU / SZWU) x </w:t>
      </w:r>
      <w:r w:rsidRPr="00D63916">
        <w:rPr>
          <w:rFonts w:asciiTheme="majorHAnsi" w:hAnsiTheme="majorHAnsi" w:cstheme="majorHAnsi"/>
          <w:sz w:val="18"/>
          <w:szCs w:val="18"/>
        </w:rPr>
        <w:t>49</w:t>
      </w:r>
      <w:r>
        <w:rPr>
          <w:rFonts w:asciiTheme="majorHAnsi" w:hAnsiTheme="majorHAnsi" w:cstheme="majorHAnsi"/>
          <w:sz w:val="18"/>
          <w:szCs w:val="18"/>
        </w:rPr>
        <w:t>.</w:t>
      </w:r>
      <w:r w:rsidRPr="00D63916">
        <w:rPr>
          <w:rFonts w:asciiTheme="majorHAnsi" w:hAnsiTheme="majorHAnsi" w:cstheme="majorHAnsi"/>
          <w:sz w:val="18"/>
          <w:szCs w:val="18"/>
        </w:rPr>
        <w:t>565</w:t>
      </w:r>
    </w:p>
    <w:p w14:paraId="7B84E0D1"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gdzie:</w:t>
      </w:r>
    </w:p>
    <w:tbl>
      <w:tblPr>
        <w:tblStyle w:val="Tabela-Siatk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654"/>
      </w:tblGrid>
      <w:tr w:rsidR="006A1004" w:rsidRPr="00A11268" w14:paraId="00DC7A1F" w14:textId="77777777" w:rsidTr="0063484D">
        <w:tc>
          <w:tcPr>
            <w:tcW w:w="1134" w:type="dxa"/>
          </w:tcPr>
          <w:p w14:paraId="33B1BB7F"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lastRenderedPageBreak/>
              <w:t>LWS</w:t>
            </w:r>
          </w:p>
        </w:tc>
        <w:tc>
          <w:tcPr>
            <w:tcW w:w="7654" w:type="dxa"/>
          </w:tcPr>
          <w:p w14:paraId="4472BD7F"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oznacza liczbę Warrantów Subskrypcyjnych, do objęcia których w wykonaniu Uprawnienia </w:t>
            </w:r>
            <w:r>
              <w:rPr>
                <w:rFonts w:asciiTheme="majorHAnsi" w:hAnsiTheme="majorHAnsi" w:cstheme="majorHAnsi"/>
                <w:sz w:val="18"/>
                <w:szCs w:val="18"/>
              </w:rPr>
              <w:t xml:space="preserve">BCX-CM-AD </w:t>
            </w:r>
            <w:r w:rsidRPr="00A11268">
              <w:rPr>
                <w:rFonts w:asciiTheme="majorHAnsi" w:hAnsiTheme="majorHAnsi" w:cstheme="majorHAnsi"/>
                <w:sz w:val="18"/>
                <w:szCs w:val="18"/>
              </w:rPr>
              <w:t>uprawniony jest Uczestnik;</w:t>
            </w:r>
          </w:p>
        </w:tc>
      </w:tr>
      <w:tr w:rsidR="006A1004" w:rsidRPr="00A11268" w14:paraId="050AD05E" w14:textId="77777777" w:rsidTr="0063484D">
        <w:trPr>
          <w:trHeight w:val="68"/>
        </w:trPr>
        <w:tc>
          <w:tcPr>
            <w:tcW w:w="1134" w:type="dxa"/>
          </w:tcPr>
          <w:p w14:paraId="2545A798"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SZU</w:t>
            </w:r>
          </w:p>
        </w:tc>
        <w:tc>
          <w:tcPr>
            <w:tcW w:w="7654" w:type="dxa"/>
          </w:tcPr>
          <w:p w14:paraId="7C3B2BC3"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Uczestnika;</w:t>
            </w:r>
          </w:p>
        </w:tc>
      </w:tr>
      <w:tr w:rsidR="006A1004" w:rsidRPr="00A11268" w14:paraId="10988DDF" w14:textId="77777777" w:rsidTr="0063484D">
        <w:tc>
          <w:tcPr>
            <w:tcW w:w="1134" w:type="dxa"/>
          </w:tcPr>
          <w:p w14:paraId="0AE84D0A" w14:textId="77777777" w:rsidR="006A1004" w:rsidRPr="00A11268" w:rsidRDefault="006A1004" w:rsidP="006A1004">
            <w:pPr>
              <w:pStyle w:val="Akapitzlist"/>
              <w:numPr>
                <w:ilvl w:val="0"/>
                <w:numId w:val="39"/>
              </w:numPr>
              <w:spacing w:after="120" w:line="240" w:lineRule="auto"/>
              <w:ind w:left="313" w:hanging="313"/>
              <w:contextualSpacing w:val="0"/>
              <w:rPr>
                <w:rFonts w:asciiTheme="majorHAnsi" w:hAnsiTheme="majorHAnsi" w:cstheme="majorHAnsi"/>
                <w:sz w:val="18"/>
                <w:szCs w:val="18"/>
              </w:rPr>
            </w:pPr>
            <w:r w:rsidRPr="00A11268">
              <w:rPr>
                <w:rFonts w:asciiTheme="majorHAnsi" w:hAnsiTheme="majorHAnsi" w:cstheme="majorHAnsi"/>
                <w:sz w:val="18"/>
                <w:szCs w:val="18"/>
              </w:rPr>
              <w:t>SZWU</w:t>
            </w:r>
          </w:p>
        </w:tc>
        <w:tc>
          <w:tcPr>
            <w:tcW w:w="7654" w:type="dxa"/>
          </w:tcPr>
          <w:p w14:paraId="0CE03687" w14:textId="77777777" w:rsidR="006A1004" w:rsidRPr="00A11268" w:rsidRDefault="006A1004" w:rsidP="0063484D">
            <w:pPr>
              <w:pStyle w:val="Akapitzlist"/>
              <w:spacing w:after="120" w:line="240" w:lineRule="auto"/>
              <w:ind w:left="0"/>
              <w:contextualSpacing w:val="0"/>
              <w:jc w:val="both"/>
              <w:rPr>
                <w:rFonts w:asciiTheme="majorHAnsi" w:hAnsiTheme="majorHAnsi" w:cstheme="majorHAnsi"/>
                <w:sz w:val="18"/>
                <w:szCs w:val="18"/>
              </w:rPr>
            </w:pPr>
            <w:r w:rsidRPr="00A11268">
              <w:rPr>
                <w:rFonts w:asciiTheme="majorHAnsi" w:hAnsiTheme="majorHAnsi" w:cstheme="majorHAnsi"/>
                <w:sz w:val="18"/>
                <w:szCs w:val="18"/>
              </w:rPr>
              <w:t>oznacza Staż Zatrudnienia wszystkich Uczestników, którzy spełnili Przesłanki Wykonania Uprawnień</w:t>
            </w:r>
            <w:r>
              <w:rPr>
                <w:rFonts w:asciiTheme="majorHAnsi" w:hAnsiTheme="majorHAnsi" w:cstheme="majorHAnsi"/>
                <w:sz w:val="18"/>
                <w:szCs w:val="18"/>
              </w:rPr>
              <w:t xml:space="preserve"> BCX</w:t>
            </w:r>
            <w:r>
              <w:rPr>
                <w:rFonts w:asciiTheme="majorHAnsi" w:hAnsiTheme="majorHAnsi" w:cstheme="majorHAnsi"/>
                <w:sz w:val="18"/>
                <w:szCs w:val="18"/>
              </w:rPr>
              <w:noBreakHyphen/>
              <w:t>CM-AD</w:t>
            </w:r>
            <w:r w:rsidRPr="00A11268">
              <w:rPr>
                <w:rFonts w:asciiTheme="majorHAnsi" w:hAnsiTheme="majorHAnsi" w:cstheme="majorHAnsi"/>
                <w:sz w:val="18"/>
                <w:szCs w:val="18"/>
              </w:rPr>
              <w:t>.</w:t>
            </w:r>
          </w:p>
        </w:tc>
      </w:tr>
    </w:tbl>
    <w:p w14:paraId="478759A9" w14:textId="77777777" w:rsidR="006A1004" w:rsidRPr="00A11268" w:rsidRDefault="006A1004" w:rsidP="006A1004">
      <w:pPr>
        <w:pStyle w:val="Akapitzlist"/>
        <w:spacing w:after="120" w:line="240" w:lineRule="auto"/>
        <w:ind w:left="284"/>
        <w:contextualSpacing w:val="0"/>
        <w:rPr>
          <w:rFonts w:asciiTheme="majorHAnsi" w:hAnsiTheme="majorHAnsi" w:cstheme="majorHAnsi"/>
          <w:sz w:val="18"/>
          <w:szCs w:val="18"/>
        </w:rPr>
      </w:pPr>
      <w:r w:rsidRPr="00A11268">
        <w:rPr>
          <w:rFonts w:asciiTheme="majorHAnsi" w:hAnsiTheme="majorHAnsi" w:cstheme="majorHAnsi"/>
          <w:sz w:val="18"/>
          <w:szCs w:val="18"/>
        </w:rPr>
        <w:t>przy czym:</w:t>
      </w:r>
    </w:p>
    <w:p w14:paraId="2E878455" w14:textId="77777777" w:rsidR="006A1004" w:rsidRPr="00A11268"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wynik powyższego działania zostanie każdorazowo zaokrąglony w dół do pełnej liczby całkowitej;</w:t>
      </w:r>
    </w:p>
    <w:p w14:paraId="1FEC85DA" w14:textId="77777777" w:rsidR="006A1004"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Warranty Subskrypcyjne nieprzypisane do Uprawnień </w:t>
      </w:r>
      <w:r>
        <w:rPr>
          <w:rFonts w:asciiTheme="majorHAnsi" w:hAnsiTheme="majorHAnsi" w:cstheme="majorHAnsi"/>
          <w:sz w:val="18"/>
          <w:szCs w:val="18"/>
        </w:rPr>
        <w:t>BCX-CM-AD</w:t>
      </w:r>
      <w:r w:rsidRPr="00A11268">
        <w:rPr>
          <w:rFonts w:asciiTheme="majorHAnsi" w:hAnsiTheme="majorHAnsi" w:cstheme="majorHAnsi"/>
          <w:sz w:val="18"/>
          <w:szCs w:val="18"/>
        </w:rPr>
        <w:t xml:space="preserve"> wskutek dokonania ww. zaokrągleń będą przypisywane kolejno Uprawnieniom </w:t>
      </w:r>
      <w:r>
        <w:rPr>
          <w:rFonts w:asciiTheme="majorHAnsi" w:hAnsiTheme="majorHAnsi" w:cstheme="majorHAnsi"/>
          <w:sz w:val="18"/>
          <w:szCs w:val="18"/>
        </w:rPr>
        <w:t>BCX-CM-AD</w:t>
      </w:r>
      <w:r w:rsidRPr="00A11268">
        <w:rPr>
          <w:rFonts w:asciiTheme="majorHAnsi" w:hAnsiTheme="majorHAnsi" w:cstheme="majorHAnsi"/>
          <w:sz w:val="18"/>
          <w:szCs w:val="18"/>
        </w:rPr>
        <w:t xml:space="preserve"> posiadanym przez Uczestników</w:t>
      </w:r>
      <w:r>
        <w:rPr>
          <w:rFonts w:asciiTheme="majorHAnsi" w:hAnsiTheme="majorHAnsi" w:cstheme="majorHAnsi"/>
          <w:sz w:val="18"/>
          <w:szCs w:val="18"/>
        </w:rPr>
        <w:t xml:space="preserve"> </w:t>
      </w:r>
      <w:r w:rsidRPr="00A11268">
        <w:rPr>
          <w:rFonts w:asciiTheme="majorHAnsi" w:hAnsiTheme="majorHAnsi" w:cstheme="majorHAnsi"/>
          <w:sz w:val="18"/>
          <w:szCs w:val="18"/>
        </w:rPr>
        <w:t>posiadających największe, niepokryte części ułamkowe wyniku uzyskanego zgodnie z powyższym wzor</w:t>
      </w:r>
      <w:r>
        <w:rPr>
          <w:rFonts w:asciiTheme="majorHAnsi" w:hAnsiTheme="majorHAnsi" w:cstheme="majorHAnsi"/>
          <w:sz w:val="18"/>
          <w:szCs w:val="18"/>
        </w:rPr>
        <w:t>em</w:t>
      </w:r>
      <w:r w:rsidRPr="00A11268">
        <w:rPr>
          <w:rFonts w:asciiTheme="majorHAnsi" w:hAnsiTheme="majorHAnsi" w:cstheme="majorHAnsi"/>
          <w:sz w:val="18"/>
          <w:szCs w:val="18"/>
        </w:rPr>
        <w:t xml:space="preserve">, aż do przypisania wszystkich Warrantów Subskrypcyjnych </w:t>
      </w:r>
      <w:r>
        <w:rPr>
          <w:rFonts w:asciiTheme="majorHAnsi" w:hAnsiTheme="majorHAnsi" w:cstheme="majorHAnsi"/>
          <w:sz w:val="18"/>
          <w:szCs w:val="18"/>
        </w:rPr>
        <w:t>możliwych do objęcia w wykonaniu Uprawnień BCX-CM-AD</w:t>
      </w:r>
      <w:r w:rsidRPr="00A11268">
        <w:rPr>
          <w:rFonts w:asciiTheme="majorHAnsi" w:hAnsiTheme="majorHAnsi" w:cstheme="majorHAnsi"/>
          <w:sz w:val="18"/>
          <w:szCs w:val="18"/>
        </w:rPr>
        <w:t xml:space="preserve">, tj. </w:t>
      </w:r>
      <w:r w:rsidRPr="00D63916">
        <w:rPr>
          <w:rFonts w:asciiTheme="majorHAnsi" w:hAnsiTheme="majorHAnsi" w:cstheme="majorHAnsi"/>
          <w:sz w:val="18"/>
          <w:szCs w:val="18"/>
        </w:rPr>
        <w:t>49</w:t>
      </w:r>
      <w:r>
        <w:rPr>
          <w:rFonts w:asciiTheme="majorHAnsi" w:hAnsiTheme="majorHAnsi" w:cstheme="majorHAnsi"/>
          <w:sz w:val="18"/>
          <w:szCs w:val="18"/>
        </w:rPr>
        <w:t>.</w:t>
      </w:r>
      <w:r w:rsidRPr="00D63916">
        <w:rPr>
          <w:rFonts w:asciiTheme="majorHAnsi" w:hAnsiTheme="majorHAnsi" w:cstheme="majorHAnsi"/>
          <w:sz w:val="18"/>
          <w:szCs w:val="18"/>
        </w:rPr>
        <w:t>565</w:t>
      </w:r>
      <w:r>
        <w:rPr>
          <w:rFonts w:asciiTheme="majorHAnsi" w:hAnsiTheme="majorHAnsi" w:cstheme="majorHAnsi"/>
          <w:sz w:val="18"/>
          <w:szCs w:val="18"/>
        </w:rPr>
        <w:t xml:space="preserve"> (czterdzieści dziewięć tysięcy pięćset sześćdziesiąt pięć) </w:t>
      </w:r>
      <w:r w:rsidRPr="00A11268">
        <w:rPr>
          <w:rFonts w:asciiTheme="majorHAnsi" w:hAnsiTheme="majorHAnsi" w:cstheme="majorHAnsi"/>
          <w:sz w:val="18"/>
          <w:szCs w:val="18"/>
        </w:rPr>
        <w:t xml:space="preserve"> Warrantów Subskrypcyjnych;</w:t>
      </w:r>
    </w:p>
    <w:p w14:paraId="4FD7AEEC" w14:textId="77777777" w:rsidR="006A1004" w:rsidRPr="00F213E2" w:rsidRDefault="006A1004" w:rsidP="006A1004">
      <w:pPr>
        <w:pStyle w:val="Akapitzlist"/>
        <w:numPr>
          <w:ilvl w:val="2"/>
          <w:numId w:val="42"/>
        </w:numPr>
        <w:spacing w:after="120" w:line="240" w:lineRule="auto"/>
        <w:contextualSpacing w:val="0"/>
        <w:jc w:val="both"/>
        <w:rPr>
          <w:rFonts w:asciiTheme="majorHAnsi" w:hAnsiTheme="majorHAnsi" w:cstheme="majorHAnsi"/>
          <w:sz w:val="18"/>
          <w:szCs w:val="18"/>
        </w:rPr>
      </w:pPr>
      <w:r w:rsidRPr="00F213E2">
        <w:rPr>
          <w:rFonts w:asciiTheme="majorHAnsi" w:hAnsiTheme="majorHAnsi" w:cstheme="majorHAnsi"/>
          <w:sz w:val="18"/>
          <w:szCs w:val="18"/>
        </w:rPr>
        <w:t>w przypadku, gdy kilku Uczestników posiadać będzie równą, niepokrytą część wyniku uzyskanego zgodnie z powyższym wzor</w:t>
      </w:r>
      <w:r>
        <w:rPr>
          <w:rFonts w:asciiTheme="majorHAnsi" w:hAnsiTheme="majorHAnsi" w:cstheme="majorHAnsi"/>
          <w:sz w:val="18"/>
          <w:szCs w:val="18"/>
        </w:rPr>
        <w:t>em</w:t>
      </w:r>
      <w:r w:rsidRPr="00F213E2">
        <w:rPr>
          <w:rFonts w:asciiTheme="majorHAnsi" w:hAnsiTheme="majorHAnsi" w:cstheme="majorHAnsi"/>
          <w:sz w:val="18"/>
          <w:szCs w:val="18"/>
        </w:rPr>
        <w:t>, decyzja o kolejności przypisania Uczestnikom pozostałych Warrantów Subskrypcyjnych możliwych do objęcia w wykonaniu Uprawnień BCX-</w:t>
      </w:r>
      <w:r>
        <w:rPr>
          <w:rFonts w:asciiTheme="majorHAnsi" w:hAnsiTheme="majorHAnsi" w:cstheme="majorHAnsi"/>
          <w:sz w:val="18"/>
          <w:szCs w:val="18"/>
        </w:rPr>
        <w:t>CM-AD</w:t>
      </w:r>
      <w:r w:rsidRPr="00F213E2">
        <w:rPr>
          <w:rFonts w:asciiTheme="majorHAnsi" w:hAnsiTheme="majorHAnsi" w:cstheme="majorHAnsi"/>
          <w:sz w:val="18"/>
          <w:szCs w:val="18"/>
        </w:rPr>
        <w:t xml:space="preserve"> zostanie podjęta przez Zarząd według jego swobodnego uznania.</w:t>
      </w:r>
      <w:bookmarkStart w:id="2" w:name="_Ref234919261"/>
    </w:p>
    <w:bookmarkEnd w:id="2"/>
    <w:p w14:paraId="205E6C74" w14:textId="77777777" w:rsidR="006A1004" w:rsidRPr="00A11268" w:rsidRDefault="006A1004" w:rsidP="006A1004">
      <w:pPr>
        <w:pStyle w:val="Akapitzlist"/>
        <w:numPr>
          <w:ilvl w:val="1"/>
          <w:numId w:val="42"/>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Liczba Warrantów Subskrypcyjnych, do objęcia których uprawnia </w:t>
      </w:r>
      <w:r>
        <w:rPr>
          <w:rFonts w:asciiTheme="majorHAnsi" w:hAnsiTheme="majorHAnsi" w:cstheme="majorHAnsi"/>
          <w:sz w:val="18"/>
          <w:szCs w:val="18"/>
        </w:rPr>
        <w:t xml:space="preserve">dane </w:t>
      </w:r>
      <w:r w:rsidRPr="00A11268">
        <w:rPr>
          <w:rFonts w:asciiTheme="majorHAnsi" w:hAnsiTheme="majorHAnsi" w:cstheme="majorHAnsi"/>
          <w:sz w:val="18"/>
          <w:szCs w:val="18"/>
        </w:rPr>
        <w:t xml:space="preserve">Uprawnienie przyznane danemu Uczestnikowi, zostanie potwierdzona przez </w:t>
      </w:r>
      <w:r>
        <w:rPr>
          <w:rFonts w:asciiTheme="majorHAnsi" w:hAnsiTheme="majorHAnsi" w:cstheme="majorHAnsi"/>
          <w:sz w:val="18"/>
          <w:szCs w:val="18"/>
        </w:rPr>
        <w:t>Zarząd</w:t>
      </w:r>
      <w:r w:rsidRPr="00A11268">
        <w:rPr>
          <w:rFonts w:asciiTheme="majorHAnsi" w:hAnsiTheme="majorHAnsi" w:cstheme="majorHAnsi"/>
          <w:sz w:val="18"/>
          <w:szCs w:val="18"/>
        </w:rPr>
        <w:t xml:space="preserve"> w Uchwale Alokującej zgodnie 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_Ref224657512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4</w:t>
      </w:r>
      <w:r w:rsidRPr="00A11268">
        <w:rPr>
          <w:rFonts w:asciiTheme="majorHAnsi" w:hAnsiTheme="majorHAnsi" w:cstheme="majorHAnsi"/>
          <w:sz w:val="18"/>
          <w:szCs w:val="18"/>
        </w:rPr>
        <w:fldChar w:fldCharType="end"/>
      </w:r>
      <w:r>
        <w:rPr>
          <w:rFonts w:asciiTheme="majorHAnsi" w:hAnsiTheme="majorHAnsi" w:cstheme="majorHAnsi"/>
          <w:sz w:val="18"/>
          <w:szCs w:val="18"/>
        </w:rPr>
        <w:t xml:space="preserve"> –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REF _Ref234920325 \n \h </w:instrText>
      </w:r>
      <w:r>
        <w:rPr>
          <w:rFonts w:asciiTheme="majorHAnsi" w:hAnsiTheme="majorHAnsi" w:cstheme="majorHAnsi"/>
          <w:sz w:val="18"/>
          <w:szCs w:val="18"/>
        </w:rPr>
      </w:r>
      <w:r>
        <w:rPr>
          <w:rFonts w:asciiTheme="majorHAnsi" w:hAnsiTheme="majorHAnsi" w:cstheme="majorHAnsi"/>
          <w:sz w:val="18"/>
          <w:szCs w:val="18"/>
        </w:rPr>
        <w:fldChar w:fldCharType="separate"/>
      </w:r>
      <w:r>
        <w:rPr>
          <w:rFonts w:asciiTheme="majorHAnsi" w:hAnsiTheme="majorHAnsi" w:cstheme="majorHAnsi"/>
          <w:sz w:val="18"/>
          <w:szCs w:val="18"/>
        </w:rPr>
        <w:t>6</w:t>
      </w:r>
      <w:r>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powyżej. </w:t>
      </w:r>
    </w:p>
    <w:p w14:paraId="61735403"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206AE7EF" w14:textId="77777777" w:rsidR="006A1004" w:rsidRPr="00A11268" w:rsidRDefault="006A1004" w:rsidP="006A1004">
      <w:pPr>
        <w:spacing w:after="120" w:line="240" w:lineRule="auto"/>
        <w:jc w:val="center"/>
        <w:rPr>
          <w:rFonts w:asciiTheme="majorHAnsi" w:hAnsiTheme="majorHAnsi" w:cstheme="majorHAnsi"/>
          <w:sz w:val="18"/>
          <w:szCs w:val="18"/>
        </w:rPr>
      </w:pPr>
      <w:r w:rsidRPr="00A11268">
        <w:rPr>
          <w:rFonts w:asciiTheme="majorHAnsi" w:hAnsiTheme="majorHAnsi" w:cstheme="majorHAnsi"/>
          <w:b/>
          <w:sz w:val="18"/>
          <w:szCs w:val="18"/>
        </w:rPr>
        <w:t>Przesłanki Wykonania Uprawnień</w:t>
      </w:r>
    </w:p>
    <w:p w14:paraId="4050846E" w14:textId="77777777" w:rsidR="006A1004" w:rsidRPr="00A11268" w:rsidRDefault="006A1004" w:rsidP="006A1004">
      <w:pPr>
        <w:pStyle w:val="Akapitzlist"/>
        <w:numPr>
          <w:ilvl w:val="1"/>
          <w:numId w:val="43"/>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Realizacja Uprawnie</w:t>
      </w:r>
      <w:r>
        <w:rPr>
          <w:rFonts w:asciiTheme="majorHAnsi" w:hAnsiTheme="majorHAnsi" w:cstheme="majorHAnsi"/>
          <w:sz w:val="18"/>
          <w:szCs w:val="18"/>
        </w:rPr>
        <w:t>nia</w:t>
      </w:r>
      <w:r w:rsidRPr="00A11268">
        <w:rPr>
          <w:rFonts w:asciiTheme="majorHAnsi" w:hAnsiTheme="majorHAnsi" w:cstheme="majorHAnsi"/>
          <w:sz w:val="18"/>
          <w:szCs w:val="18"/>
        </w:rPr>
        <w:t xml:space="preserve"> uzależniona jest łącznie od:</w:t>
      </w:r>
    </w:p>
    <w:p w14:paraId="6BF54A2C" w14:textId="77777777" w:rsidR="006A1004" w:rsidRPr="00A11268" w:rsidRDefault="006A1004" w:rsidP="006A1004">
      <w:pPr>
        <w:pStyle w:val="Akapitzlist"/>
        <w:numPr>
          <w:ilvl w:val="2"/>
          <w:numId w:val="43"/>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osiągnięcia Celu Programu;</w:t>
      </w:r>
    </w:p>
    <w:p w14:paraId="3C2B6E80" w14:textId="77777777" w:rsidR="006A1004" w:rsidRPr="00A11268" w:rsidRDefault="006A1004" w:rsidP="006A1004">
      <w:pPr>
        <w:pStyle w:val="Akapitzlist"/>
        <w:numPr>
          <w:ilvl w:val="2"/>
          <w:numId w:val="43"/>
        </w:numPr>
        <w:spacing w:after="120" w:line="240" w:lineRule="auto"/>
        <w:contextualSpacing w:val="0"/>
        <w:jc w:val="both"/>
        <w:rPr>
          <w:rFonts w:asciiTheme="majorHAnsi" w:hAnsiTheme="majorHAnsi" w:cstheme="majorHAnsi"/>
          <w:sz w:val="18"/>
          <w:szCs w:val="18"/>
        </w:rPr>
      </w:pPr>
      <w:r w:rsidRPr="00A11268">
        <w:rPr>
          <w:rFonts w:asciiTheme="majorHAnsi" w:eastAsia="Times New Roman" w:hAnsiTheme="majorHAnsi" w:cstheme="majorHAnsi"/>
          <w:sz w:val="18"/>
          <w:szCs w:val="18"/>
        </w:rPr>
        <w:t>spełnienia przez danego Uczestnika Kryterium Lojalnościowego, z zastrzeżeniem, że Regulamin Programu Motywacyjnego może zawierać postanowienia pozwalające na wykonanie przez Uczestnika Uprawnienia w całości lub w części pomimo spełnienia przez niego Kryterium Lojalnościowego w niepełnym zakresie.</w:t>
      </w:r>
    </w:p>
    <w:p w14:paraId="693AE95B" w14:textId="77777777" w:rsidR="006A1004" w:rsidRPr="00A11268" w:rsidRDefault="006A1004" w:rsidP="006A1004">
      <w:pPr>
        <w:pStyle w:val="Akapitzlist"/>
        <w:numPr>
          <w:ilvl w:val="1"/>
          <w:numId w:val="43"/>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Jeżeli </w:t>
      </w:r>
      <w:r>
        <w:rPr>
          <w:rFonts w:asciiTheme="majorHAnsi" w:hAnsiTheme="majorHAnsi" w:cstheme="majorHAnsi"/>
          <w:sz w:val="18"/>
          <w:szCs w:val="18"/>
        </w:rPr>
        <w:t>Zarząd</w:t>
      </w:r>
      <w:r w:rsidRPr="00A11268">
        <w:rPr>
          <w:rFonts w:asciiTheme="majorHAnsi" w:hAnsiTheme="majorHAnsi" w:cstheme="majorHAnsi"/>
          <w:sz w:val="18"/>
          <w:szCs w:val="18"/>
        </w:rPr>
        <w:t xml:space="preserve"> tak postanowi w Uchwale Włączającej, Uczestnikowi mogą zostać wyznaczone dodatkowe kryteria, których spełnienie wraz z osiągnięciem Celu Programu i spełnieniem Kryterium Lojalnościowego będzie warunkować możliwość realizacji </w:t>
      </w:r>
      <w:r>
        <w:rPr>
          <w:rFonts w:asciiTheme="majorHAnsi" w:hAnsiTheme="majorHAnsi" w:cstheme="majorHAnsi"/>
          <w:sz w:val="18"/>
          <w:szCs w:val="18"/>
        </w:rPr>
        <w:t xml:space="preserve">danego </w:t>
      </w:r>
      <w:r w:rsidRPr="00A11268">
        <w:rPr>
          <w:rFonts w:asciiTheme="majorHAnsi" w:hAnsiTheme="majorHAnsi" w:cstheme="majorHAnsi"/>
          <w:sz w:val="18"/>
          <w:szCs w:val="18"/>
        </w:rPr>
        <w:t>Uprawnienia („</w:t>
      </w:r>
      <w:r w:rsidRPr="00A11268">
        <w:rPr>
          <w:rFonts w:asciiTheme="majorHAnsi" w:hAnsiTheme="majorHAnsi" w:cstheme="majorHAnsi"/>
          <w:b/>
          <w:sz w:val="18"/>
          <w:szCs w:val="18"/>
        </w:rPr>
        <w:t>Kryterium Dodatkowe</w:t>
      </w:r>
      <w:r w:rsidRPr="00A11268">
        <w:rPr>
          <w:rFonts w:asciiTheme="majorHAnsi" w:hAnsiTheme="majorHAnsi" w:cstheme="majorHAnsi"/>
          <w:sz w:val="18"/>
          <w:szCs w:val="18"/>
        </w:rPr>
        <w:t>”).</w:t>
      </w:r>
    </w:p>
    <w:p w14:paraId="1417457E"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5BD1A8CC" w14:textId="77777777" w:rsidR="006A1004" w:rsidRPr="00A11268" w:rsidRDefault="006A1004" w:rsidP="006A1004">
      <w:pPr>
        <w:widowControl w:val="0"/>
        <w:spacing w:after="120" w:line="240" w:lineRule="auto"/>
        <w:jc w:val="center"/>
        <w:rPr>
          <w:rFonts w:asciiTheme="majorHAnsi" w:eastAsia="Times New Roman" w:hAnsiTheme="majorHAnsi" w:cstheme="majorHAnsi"/>
          <w:b/>
          <w:sz w:val="18"/>
          <w:szCs w:val="18"/>
        </w:rPr>
      </w:pPr>
      <w:r w:rsidRPr="00A11268">
        <w:rPr>
          <w:rFonts w:asciiTheme="majorHAnsi" w:eastAsia="Times New Roman" w:hAnsiTheme="majorHAnsi" w:cstheme="majorHAnsi"/>
          <w:b/>
          <w:sz w:val="18"/>
          <w:szCs w:val="18"/>
        </w:rPr>
        <w:t>Weryfikacja spełnienia Przesłanek Wykonania Uprawnień</w:t>
      </w:r>
    </w:p>
    <w:p w14:paraId="15457287" w14:textId="77777777" w:rsidR="006A1004" w:rsidRPr="00F213E2" w:rsidRDefault="006A1004" w:rsidP="006A1004">
      <w:pPr>
        <w:pStyle w:val="Akapitzlist"/>
        <w:numPr>
          <w:ilvl w:val="1"/>
          <w:numId w:val="44"/>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Zarząd poinformuje Uczestników o osiągnięciu Celu Programu w terminie 20 (dwudziestu) Dni Roboczych od dnia osiągnięcia Celu Programu, w sposób wskazany w Umowie Uczestnictwa. </w:t>
      </w:r>
      <w:r w:rsidRPr="00A11268">
        <w:rPr>
          <w:rFonts w:asciiTheme="majorHAnsi" w:eastAsia="Times New Roman" w:hAnsiTheme="majorHAnsi" w:cstheme="majorHAnsi"/>
          <w:sz w:val="18"/>
          <w:szCs w:val="18"/>
        </w:rPr>
        <w:t>W przypadku nieosiągnięcia</w:t>
      </w:r>
      <w:r>
        <w:rPr>
          <w:rFonts w:asciiTheme="majorHAnsi" w:eastAsia="Times New Roman" w:hAnsiTheme="majorHAnsi" w:cstheme="majorHAnsi"/>
          <w:sz w:val="18"/>
          <w:szCs w:val="18"/>
        </w:rPr>
        <w:t xml:space="preserve"> (i) Celu BCX-CM-J do dnia 30 września 2027 r. (włącznie), (ii) Celu BCX-EM do dnia 31 grudnia 2028 r. (włącznie) lub (iii) Celu BCX-CM-AD </w:t>
      </w:r>
      <w:r w:rsidRPr="00A11268">
        <w:rPr>
          <w:rFonts w:asciiTheme="majorHAnsi" w:hAnsiTheme="majorHAnsi" w:cstheme="majorHAnsi"/>
          <w:sz w:val="18"/>
          <w:szCs w:val="18"/>
        </w:rPr>
        <w:t>w </w:t>
      </w:r>
      <w:r>
        <w:rPr>
          <w:rFonts w:asciiTheme="majorHAnsi" w:hAnsiTheme="majorHAnsi" w:cstheme="majorHAnsi"/>
          <w:sz w:val="18"/>
          <w:szCs w:val="18"/>
        </w:rPr>
        <w:t>terminie 18 (osiemnastu) miesięcy od dnia osiągnięcia Celu BCX</w:t>
      </w:r>
      <w:r>
        <w:rPr>
          <w:rFonts w:asciiTheme="majorHAnsi" w:hAnsiTheme="majorHAnsi" w:cstheme="majorHAnsi"/>
          <w:sz w:val="18"/>
          <w:szCs w:val="18"/>
        </w:rPr>
        <w:noBreakHyphen/>
        <w:t>CM-J lub do dnia</w:t>
      </w:r>
      <w:r w:rsidRPr="00A11268">
        <w:rPr>
          <w:rFonts w:asciiTheme="majorHAnsi" w:hAnsiTheme="majorHAnsi" w:cstheme="majorHAnsi"/>
          <w:sz w:val="18"/>
          <w:szCs w:val="18"/>
        </w:rPr>
        <w:t xml:space="preserve"> </w:t>
      </w:r>
      <w:r>
        <w:rPr>
          <w:rFonts w:asciiTheme="majorHAnsi" w:hAnsiTheme="majorHAnsi" w:cstheme="majorHAnsi"/>
          <w:sz w:val="18"/>
          <w:szCs w:val="18"/>
        </w:rPr>
        <w:t xml:space="preserve">30 września 2030 r. (włącznie), </w:t>
      </w:r>
      <w:r w:rsidRPr="00A11268">
        <w:rPr>
          <w:rFonts w:asciiTheme="majorHAnsi" w:hAnsiTheme="majorHAnsi" w:cstheme="majorHAnsi"/>
          <w:sz w:val="18"/>
          <w:szCs w:val="18"/>
        </w:rPr>
        <w:t>Zarząd poinformuje Uczestników o</w:t>
      </w:r>
      <w:r>
        <w:rPr>
          <w:rFonts w:asciiTheme="majorHAnsi" w:hAnsiTheme="majorHAnsi" w:cstheme="majorHAnsi"/>
          <w:sz w:val="18"/>
          <w:szCs w:val="18"/>
        </w:rPr>
        <w:t xml:space="preserve"> tym fakcie </w:t>
      </w:r>
      <w:r w:rsidRPr="00A11268">
        <w:rPr>
          <w:rFonts w:asciiTheme="majorHAnsi" w:hAnsiTheme="majorHAnsi" w:cstheme="majorHAnsi"/>
          <w:sz w:val="18"/>
          <w:szCs w:val="18"/>
        </w:rPr>
        <w:t>w terminie 20 (dwudziestu) Dni Roboczych od dnia</w:t>
      </w:r>
      <w:r>
        <w:rPr>
          <w:rFonts w:asciiTheme="majorHAnsi" w:hAnsiTheme="majorHAnsi" w:cstheme="majorHAnsi"/>
          <w:sz w:val="18"/>
          <w:szCs w:val="18"/>
        </w:rPr>
        <w:t xml:space="preserve"> upływu danego z ww. terminów, </w:t>
      </w:r>
      <w:r w:rsidRPr="00A11268">
        <w:rPr>
          <w:rFonts w:asciiTheme="majorHAnsi" w:hAnsiTheme="majorHAnsi" w:cstheme="majorHAnsi"/>
          <w:sz w:val="18"/>
          <w:szCs w:val="18"/>
        </w:rPr>
        <w:t>w sposób wskazany w Umowie Uczestnictwa</w:t>
      </w:r>
      <w:r>
        <w:rPr>
          <w:rFonts w:asciiTheme="majorHAnsi" w:hAnsiTheme="majorHAnsi" w:cstheme="majorHAnsi"/>
          <w:sz w:val="18"/>
          <w:szCs w:val="18"/>
        </w:rPr>
        <w:t>.</w:t>
      </w:r>
    </w:p>
    <w:p w14:paraId="24476569" w14:textId="77777777" w:rsidR="006A1004" w:rsidRPr="00A11268" w:rsidRDefault="006A1004" w:rsidP="006A1004">
      <w:pPr>
        <w:pStyle w:val="Akapitzlist"/>
        <w:numPr>
          <w:ilvl w:val="1"/>
          <w:numId w:val="44"/>
        </w:numPr>
        <w:spacing w:after="120" w:line="240" w:lineRule="auto"/>
        <w:contextualSpacing w:val="0"/>
        <w:jc w:val="both"/>
        <w:rPr>
          <w:rFonts w:asciiTheme="majorHAnsi" w:hAnsiTheme="majorHAnsi" w:cstheme="majorHAnsi"/>
          <w:sz w:val="18"/>
          <w:szCs w:val="18"/>
        </w:rPr>
      </w:pPr>
      <w:r>
        <w:rPr>
          <w:rFonts w:asciiTheme="majorHAnsi" w:eastAsia="Times New Roman" w:hAnsiTheme="majorHAnsi" w:cstheme="majorHAnsi"/>
          <w:sz w:val="18"/>
          <w:szCs w:val="18"/>
        </w:rPr>
        <w:t>Zarząd w</w:t>
      </w:r>
      <w:r w:rsidRPr="00A11268">
        <w:rPr>
          <w:rFonts w:asciiTheme="majorHAnsi" w:hAnsiTheme="majorHAnsi" w:cstheme="majorHAnsi"/>
          <w:sz w:val="18"/>
          <w:szCs w:val="18"/>
        </w:rPr>
        <w:t xml:space="preserve"> terminie przypadającym nie wcześniej niż 6 (sześć) i nie później niż 9 (dziewięć) miesięcy od dnia osiągnięcia Celu Programu, </w:t>
      </w:r>
      <w:r>
        <w:rPr>
          <w:rFonts w:asciiTheme="majorHAnsi" w:hAnsiTheme="majorHAnsi" w:cstheme="majorHAnsi"/>
          <w:sz w:val="18"/>
          <w:szCs w:val="18"/>
        </w:rPr>
        <w:t>podejmie Uchwałę</w:t>
      </w:r>
      <w:r w:rsidRPr="00A11268">
        <w:rPr>
          <w:rFonts w:asciiTheme="majorHAnsi" w:hAnsiTheme="majorHAnsi" w:cstheme="majorHAnsi"/>
          <w:sz w:val="18"/>
          <w:szCs w:val="18"/>
        </w:rPr>
        <w:t xml:space="preserve"> Alokując</w:t>
      </w:r>
      <w:r>
        <w:rPr>
          <w:rFonts w:asciiTheme="majorHAnsi" w:hAnsiTheme="majorHAnsi" w:cstheme="majorHAnsi"/>
          <w:sz w:val="18"/>
          <w:szCs w:val="18"/>
        </w:rPr>
        <w:t>ą</w:t>
      </w:r>
      <w:r w:rsidRPr="00A11268">
        <w:rPr>
          <w:rFonts w:asciiTheme="majorHAnsi" w:hAnsiTheme="majorHAnsi" w:cstheme="majorHAnsi"/>
          <w:sz w:val="18"/>
          <w:szCs w:val="18"/>
        </w:rPr>
        <w:t>, w ramach któr</w:t>
      </w:r>
      <w:r>
        <w:rPr>
          <w:rFonts w:asciiTheme="majorHAnsi" w:hAnsiTheme="majorHAnsi" w:cstheme="majorHAnsi"/>
          <w:sz w:val="18"/>
          <w:szCs w:val="18"/>
        </w:rPr>
        <w:t>ej</w:t>
      </w:r>
      <w:r w:rsidRPr="00A11268">
        <w:rPr>
          <w:rFonts w:asciiTheme="majorHAnsi" w:hAnsiTheme="majorHAnsi" w:cstheme="majorHAnsi"/>
          <w:sz w:val="18"/>
          <w:szCs w:val="18"/>
        </w:rPr>
        <w:t>:</w:t>
      </w:r>
    </w:p>
    <w:p w14:paraId="620A21BE" w14:textId="77777777" w:rsidR="006A1004" w:rsidRPr="00A11268" w:rsidRDefault="006A1004" w:rsidP="006A1004">
      <w:pPr>
        <w:pStyle w:val="Akapitzlist"/>
        <w:numPr>
          <w:ilvl w:val="1"/>
          <w:numId w:val="38"/>
        </w:numPr>
        <w:spacing w:after="120" w:line="240" w:lineRule="auto"/>
        <w:ind w:left="567" w:hanging="283"/>
        <w:contextualSpacing w:val="0"/>
        <w:jc w:val="both"/>
        <w:rPr>
          <w:rFonts w:asciiTheme="majorHAnsi" w:eastAsia="Times New Roman" w:hAnsiTheme="majorHAnsi" w:cstheme="majorHAnsi"/>
          <w:sz w:val="18"/>
          <w:szCs w:val="18"/>
        </w:rPr>
      </w:pPr>
      <w:r>
        <w:rPr>
          <w:rFonts w:asciiTheme="majorHAnsi" w:hAnsiTheme="majorHAnsi" w:cstheme="majorHAnsi"/>
          <w:sz w:val="18"/>
          <w:szCs w:val="18"/>
        </w:rPr>
        <w:t>Zarząd dokona</w:t>
      </w:r>
      <w:r w:rsidRPr="00A11268">
        <w:rPr>
          <w:rFonts w:asciiTheme="majorHAnsi" w:eastAsia="Times New Roman" w:hAnsiTheme="majorHAnsi" w:cstheme="majorHAnsi"/>
          <w:sz w:val="18"/>
          <w:szCs w:val="18"/>
        </w:rPr>
        <w:t xml:space="preserve"> weryfikacji spełnienia przez poszczególnych Uczestników Kryterium Lojalnościowego (lub wystąpienia w stosunku do Uczestników określonych w Regulaminie Programu Motywacyjnego okoliczności pozwalających na</w:t>
      </w:r>
      <w:r>
        <w:rPr>
          <w:rFonts w:asciiTheme="majorHAnsi" w:eastAsia="Times New Roman" w:hAnsiTheme="majorHAnsi" w:cstheme="majorHAnsi"/>
          <w:sz w:val="18"/>
          <w:szCs w:val="18"/>
        </w:rPr>
        <w:t> </w:t>
      </w:r>
      <w:r w:rsidRPr="00A11268">
        <w:rPr>
          <w:rFonts w:asciiTheme="majorHAnsi" w:eastAsia="Times New Roman" w:hAnsiTheme="majorHAnsi" w:cstheme="majorHAnsi"/>
          <w:sz w:val="18"/>
          <w:szCs w:val="18"/>
        </w:rPr>
        <w:t>wykonanie Uprawnienia pomimo niespełnienia Kryterium Lojalnościowego w pełnym zakresie) oraz Kryterium Dodatkowego, jeżeli zostało ono wyznaczone danemu Uczestnikowi</w:t>
      </w:r>
      <w:r>
        <w:rPr>
          <w:rFonts w:asciiTheme="majorHAnsi" w:eastAsia="Times New Roman" w:hAnsiTheme="majorHAnsi" w:cstheme="majorHAnsi"/>
          <w:sz w:val="18"/>
          <w:szCs w:val="18"/>
        </w:rPr>
        <w:t xml:space="preserve"> w odniesieniu do danego Uprawnienia</w:t>
      </w:r>
      <w:r w:rsidRPr="00A11268">
        <w:rPr>
          <w:rFonts w:asciiTheme="majorHAnsi" w:eastAsia="Times New Roman" w:hAnsiTheme="majorHAnsi" w:cstheme="majorHAnsi"/>
          <w:sz w:val="18"/>
          <w:szCs w:val="18"/>
        </w:rPr>
        <w:t>;</w:t>
      </w:r>
    </w:p>
    <w:p w14:paraId="39BD637F" w14:textId="77777777" w:rsidR="006A1004" w:rsidRPr="00A11268" w:rsidRDefault="006A1004" w:rsidP="006A1004">
      <w:pPr>
        <w:pStyle w:val="Akapitzlist"/>
        <w:numPr>
          <w:ilvl w:val="1"/>
          <w:numId w:val="38"/>
        </w:numPr>
        <w:spacing w:after="120" w:line="240" w:lineRule="auto"/>
        <w:ind w:left="567" w:hanging="283"/>
        <w:contextualSpacing w:val="0"/>
        <w:jc w:val="both"/>
        <w:rPr>
          <w:rFonts w:asciiTheme="majorHAnsi" w:eastAsia="Times New Roman" w:hAnsiTheme="majorHAnsi" w:cstheme="majorHAnsi"/>
          <w:sz w:val="18"/>
          <w:szCs w:val="18"/>
        </w:rPr>
      </w:pPr>
      <w:r>
        <w:rPr>
          <w:rFonts w:asciiTheme="majorHAnsi" w:hAnsiTheme="majorHAnsi" w:cstheme="majorHAnsi"/>
          <w:sz w:val="18"/>
          <w:szCs w:val="18"/>
        </w:rPr>
        <w:t>Zarząd potwierdzi</w:t>
      </w:r>
      <w:r w:rsidRPr="00A11268">
        <w:rPr>
          <w:rFonts w:asciiTheme="majorHAnsi" w:hAnsiTheme="majorHAnsi" w:cstheme="majorHAnsi"/>
          <w:sz w:val="18"/>
          <w:szCs w:val="18"/>
        </w:rPr>
        <w:t xml:space="preserve"> liczbę Warrantów Subskrypcyjnych, do objęcia których uprawniają Uprawnienia przyznane poszczególnym Uczestnikom, którzy spełnili Przesłanki Wykonania Uprawnień</w:t>
      </w:r>
      <w:r>
        <w:rPr>
          <w:rFonts w:asciiTheme="majorHAnsi" w:hAnsiTheme="majorHAnsi" w:cstheme="majorHAnsi"/>
          <w:sz w:val="18"/>
          <w:szCs w:val="18"/>
        </w:rPr>
        <w:t xml:space="preserve"> będących przedmiotem Uchwały Alokującej</w:t>
      </w:r>
      <w:r w:rsidRPr="00A11268">
        <w:rPr>
          <w:rFonts w:asciiTheme="majorHAnsi" w:hAnsiTheme="majorHAnsi" w:cstheme="majorHAnsi"/>
          <w:sz w:val="18"/>
          <w:szCs w:val="18"/>
        </w:rPr>
        <w:t>, zgodnie</w:t>
      </w:r>
      <w:r>
        <w:rPr>
          <w:rFonts w:asciiTheme="majorHAnsi" w:hAnsiTheme="majorHAnsi" w:cstheme="majorHAnsi"/>
          <w:sz w:val="18"/>
          <w:szCs w:val="18"/>
        </w:rPr>
        <w:t xml:space="preserve"> </w:t>
      </w:r>
      <w:r w:rsidRPr="00A11268">
        <w:rPr>
          <w:rFonts w:asciiTheme="majorHAnsi" w:hAnsiTheme="majorHAnsi" w:cstheme="majorHAnsi"/>
          <w:sz w:val="18"/>
          <w:szCs w:val="18"/>
        </w:rPr>
        <w:t xml:space="preserve">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\r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_Ref224657512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4</w:t>
      </w:r>
      <w:r w:rsidRPr="00A11268">
        <w:rPr>
          <w:rFonts w:asciiTheme="majorHAnsi" w:hAnsiTheme="majorHAnsi" w:cstheme="majorHAnsi"/>
          <w:sz w:val="18"/>
          <w:szCs w:val="18"/>
        </w:rPr>
        <w:fldChar w:fldCharType="end"/>
      </w:r>
      <w:r>
        <w:rPr>
          <w:rFonts w:asciiTheme="majorHAnsi" w:hAnsiTheme="majorHAnsi" w:cstheme="majorHAnsi"/>
          <w:sz w:val="18"/>
          <w:szCs w:val="18"/>
        </w:rPr>
        <w:t xml:space="preserve"> –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REF _Ref234920325 \n \h </w:instrText>
      </w:r>
      <w:r>
        <w:rPr>
          <w:rFonts w:asciiTheme="majorHAnsi" w:hAnsiTheme="majorHAnsi" w:cstheme="majorHAnsi"/>
          <w:sz w:val="18"/>
          <w:szCs w:val="18"/>
        </w:rPr>
      </w:r>
      <w:r>
        <w:rPr>
          <w:rFonts w:asciiTheme="majorHAnsi" w:hAnsiTheme="majorHAnsi" w:cstheme="majorHAnsi"/>
          <w:sz w:val="18"/>
          <w:szCs w:val="18"/>
        </w:rPr>
        <w:fldChar w:fldCharType="separate"/>
      </w:r>
      <w:r>
        <w:rPr>
          <w:rFonts w:asciiTheme="majorHAnsi" w:hAnsiTheme="majorHAnsi" w:cstheme="majorHAnsi"/>
          <w:sz w:val="18"/>
          <w:szCs w:val="18"/>
        </w:rPr>
        <w:t>6</w:t>
      </w:r>
      <w:r>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powyżej.</w:t>
      </w:r>
    </w:p>
    <w:p w14:paraId="319EC113"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3261C9C0" w14:textId="77777777" w:rsidR="006A1004" w:rsidRPr="00A11268" w:rsidRDefault="006A1004" w:rsidP="006A1004">
      <w:pPr>
        <w:spacing w:after="120" w:line="240" w:lineRule="auto"/>
        <w:jc w:val="center"/>
        <w:rPr>
          <w:rFonts w:asciiTheme="majorHAnsi" w:hAnsiTheme="majorHAnsi" w:cstheme="majorHAnsi"/>
          <w:sz w:val="18"/>
          <w:szCs w:val="18"/>
        </w:rPr>
      </w:pPr>
      <w:r w:rsidRPr="00A11268">
        <w:rPr>
          <w:rFonts w:asciiTheme="majorHAnsi" w:hAnsiTheme="majorHAnsi" w:cstheme="majorHAnsi"/>
          <w:b/>
          <w:sz w:val="18"/>
          <w:szCs w:val="18"/>
        </w:rPr>
        <w:t>Tryb realizacji Uprawnień</w:t>
      </w:r>
    </w:p>
    <w:p w14:paraId="6C85880A" w14:textId="77777777" w:rsidR="006A1004" w:rsidRPr="00A11268" w:rsidRDefault="006A1004" w:rsidP="006A1004">
      <w:pPr>
        <w:pStyle w:val="Akapitzlist"/>
        <w:numPr>
          <w:ilvl w:val="1"/>
          <w:numId w:val="45"/>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Realizacja Uprawnień następuje w drodze złożenia Uczestnikowi przez Spółkę oferty nieodpłatnego objęcia Warrantów Subskrypcyjnych w liczbie wskazanej w Uchwale Alokującej (określonej zgodnie z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_Ref101525485 \r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 3</w:t>
      </w:r>
      <w:r w:rsidRPr="00A11268">
        <w:rPr>
          <w:rFonts w:asciiTheme="majorHAnsi" w:hAnsiTheme="majorHAnsi" w:cstheme="majorHAnsi"/>
          <w:sz w:val="18"/>
          <w:szCs w:val="18"/>
        </w:rPr>
        <w:fldChar w:fldCharType="end"/>
      </w:r>
      <w:r w:rsidRPr="00A11268">
        <w:rPr>
          <w:rFonts w:asciiTheme="majorHAnsi" w:hAnsiTheme="majorHAnsi" w:cstheme="majorHAnsi"/>
          <w:sz w:val="18"/>
          <w:szCs w:val="18"/>
        </w:rPr>
        <w:t xml:space="preserve"> ust. </w:t>
      </w:r>
      <w:r w:rsidRPr="00A11268">
        <w:rPr>
          <w:rFonts w:asciiTheme="majorHAnsi" w:hAnsiTheme="majorHAnsi" w:cstheme="majorHAnsi"/>
          <w:sz w:val="18"/>
          <w:szCs w:val="18"/>
        </w:rPr>
        <w:fldChar w:fldCharType="begin"/>
      </w:r>
      <w:r w:rsidRPr="00A11268">
        <w:rPr>
          <w:rFonts w:asciiTheme="majorHAnsi" w:hAnsiTheme="majorHAnsi" w:cstheme="majorHAnsi"/>
          <w:sz w:val="18"/>
          <w:szCs w:val="18"/>
        </w:rPr>
        <w:instrText xml:space="preserve"> REF _Ref224657512 \n \h  \* MERGEFORMAT </w:instrText>
      </w:r>
      <w:r w:rsidRPr="00A11268">
        <w:rPr>
          <w:rFonts w:asciiTheme="majorHAnsi" w:hAnsiTheme="majorHAnsi" w:cstheme="majorHAnsi"/>
          <w:sz w:val="18"/>
          <w:szCs w:val="18"/>
        </w:rPr>
      </w:r>
      <w:r w:rsidRPr="00A11268">
        <w:rPr>
          <w:rFonts w:asciiTheme="majorHAnsi" w:hAnsiTheme="majorHAnsi" w:cstheme="majorHAnsi"/>
          <w:sz w:val="18"/>
          <w:szCs w:val="18"/>
        </w:rPr>
        <w:fldChar w:fldCharType="separate"/>
      </w:r>
      <w:r>
        <w:rPr>
          <w:rFonts w:asciiTheme="majorHAnsi" w:hAnsiTheme="majorHAnsi" w:cstheme="majorHAnsi"/>
          <w:sz w:val="18"/>
          <w:szCs w:val="18"/>
        </w:rPr>
        <w:t>4</w:t>
      </w:r>
      <w:r w:rsidRPr="00A11268">
        <w:rPr>
          <w:rFonts w:asciiTheme="majorHAnsi" w:hAnsiTheme="majorHAnsi" w:cstheme="majorHAnsi"/>
          <w:sz w:val="18"/>
          <w:szCs w:val="18"/>
        </w:rPr>
        <w:fldChar w:fldCharType="end"/>
      </w:r>
      <w:r>
        <w:rPr>
          <w:rFonts w:asciiTheme="majorHAnsi" w:hAnsiTheme="majorHAnsi" w:cstheme="majorHAnsi"/>
          <w:sz w:val="18"/>
          <w:szCs w:val="18"/>
        </w:rPr>
        <w:t xml:space="preserve"> –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REF _Ref234920325 \n \h </w:instrText>
      </w:r>
      <w:r>
        <w:rPr>
          <w:rFonts w:asciiTheme="majorHAnsi" w:hAnsiTheme="majorHAnsi" w:cstheme="majorHAnsi"/>
          <w:sz w:val="18"/>
          <w:szCs w:val="18"/>
        </w:rPr>
      </w:r>
      <w:r>
        <w:rPr>
          <w:rFonts w:asciiTheme="majorHAnsi" w:hAnsiTheme="majorHAnsi" w:cstheme="majorHAnsi"/>
          <w:sz w:val="18"/>
          <w:szCs w:val="18"/>
        </w:rPr>
        <w:fldChar w:fldCharType="separate"/>
      </w:r>
      <w:r>
        <w:rPr>
          <w:rFonts w:asciiTheme="majorHAnsi" w:hAnsiTheme="majorHAnsi" w:cstheme="majorHAnsi"/>
          <w:sz w:val="18"/>
          <w:szCs w:val="18"/>
        </w:rPr>
        <w:t>6</w:t>
      </w:r>
      <w:r>
        <w:rPr>
          <w:rFonts w:asciiTheme="majorHAnsi" w:hAnsiTheme="majorHAnsi" w:cstheme="majorHAnsi"/>
          <w:sz w:val="18"/>
          <w:szCs w:val="18"/>
        </w:rPr>
        <w:fldChar w:fldCharType="end"/>
      </w:r>
      <w:r w:rsidRPr="00A11268">
        <w:rPr>
          <w:rFonts w:asciiTheme="majorHAnsi" w:hAnsiTheme="majorHAnsi" w:cstheme="majorHAnsi"/>
          <w:sz w:val="18"/>
          <w:szCs w:val="18"/>
        </w:rPr>
        <w:t xml:space="preserve"> powyżej) („</w:t>
      </w:r>
      <w:r w:rsidRPr="00A11268">
        <w:rPr>
          <w:rFonts w:asciiTheme="majorHAnsi" w:hAnsiTheme="majorHAnsi" w:cstheme="majorHAnsi"/>
          <w:b/>
          <w:sz w:val="18"/>
          <w:szCs w:val="18"/>
        </w:rPr>
        <w:t>Oferta</w:t>
      </w:r>
      <w:r w:rsidRPr="00A11268">
        <w:rPr>
          <w:rFonts w:asciiTheme="majorHAnsi" w:hAnsiTheme="majorHAnsi" w:cstheme="majorHAnsi"/>
          <w:sz w:val="18"/>
          <w:szCs w:val="18"/>
        </w:rPr>
        <w:t>”) oraz przyjęcia takiej Oferty przez Uczestnika.</w:t>
      </w:r>
    </w:p>
    <w:p w14:paraId="59C0D7CD" w14:textId="77777777" w:rsidR="006A1004" w:rsidRPr="00A11268" w:rsidRDefault="006A1004" w:rsidP="006A1004">
      <w:pPr>
        <w:pStyle w:val="Akapitzlist"/>
        <w:numPr>
          <w:ilvl w:val="1"/>
          <w:numId w:val="45"/>
        </w:numPr>
        <w:spacing w:after="120" w:line="240" w:lineRule="auto"/>
        <w:contextualSpacing w:val="0"/>
        <w:jc w:val="both"/>
        <w:rPr>
          <w:rFonts w:asciiTheme="majorHAnsi" w:eastAsia="Times New Roman" w:hAnsiTheme="majorHAnsi" w:cstheme="majorHAnsi"/>
          <w:sz w:val="18"/>
          <w:szCs w:val="18"/>
        </w:rPr>
      </w:pPr>
      <w:r w:rsidRPr="00A11268">
        <w:rPr>
          <w:rFonts w:asciiTheme="majorHAnsi" w:hAnsiTheme="majorHAnsi" w:cstheme="majorHAnsi"/>
          <w:sz w:val="18"/>
          <w:szCs w:val="18"/>
        </w:rPr>
        <w:lastRenderedPageBreak/>
        <w:t xml:space="preserve">Szczegółowe zasady realizacji Uprawnień, w tym wzór Oferty, tryb i termin jej złożenia Uczestnikowi przez Spółkę oraz tryb i termin jej przyjęcia przez Uczestnika, zostaną określone w Regulaminie Programu Motywacyjnego. </w:t>
      </w:r>
    </w:p>
    <w:p w14:paraId="5623AA2A" w14:textId="77777777" w:rsidR="006A1004" w:rsidRPr="00A11268" w:rsidRDefault="006A1004" w:rsidP="006A1004">
      <w:pPr>
        <w:pStyle w:val="Akapitzlist"/>
        <w:numPr>
          <w:ilvl w:val="1"/>
          <w:numId w:val="45"/>
        </w:numPr>
        <w:spacing w:after="120" w:line="240" w:lineRule="auto"/>
        <w:contextualSpacing w:val="0"/>
        <w:jc w:val="both"/>
        <w:rPr>
          <w:rFonts w:asciiTheme="majorHAnsi" w:eastAsia="Times New Roman" w:hAnsiTheme="majorHAnsi" w:cstheme="majorHAnsi"/>
          <w:sz w:val="18"/>
          <w:szCs w:val="18"/>
        </w:rPr>
      </w:pPr>
      <w:r w:rsidRPr="00A11268">
        <w:rPr>
          <w:rFonts w:asciiTheme="majorHAnsi" w:hAnsiTheme="majorHAnsi" w:cstheme="majorHAnsi"/>
          <w:sz w:val="18"/>
          <w:szCs w:val="18"/>
        </w:rPr>
        <w:t>W przypadku, gdy Uczestnik nie przyjmie Oferty w terminie wyznaczonym zgodnie z Regulaminem Programu Motywacyjnego, uznaje się, że rezygnuje on z realizacji Uprawnienia, a tym samym Uprawnienie wygasa.</w:t>
      </w:r>
      <w:r>
        <w:rPr>
          <w:rFonts w:asciiTheme="majorHAnsi" w:hAnsiTheme="majorHAnsi" w:cstheme="majorHAnsi"/>
          <w:sz w:val="18"/>
          <w:szCs w:val="18"/>
        </w:rPr>
        <w:t xml:space="preserve"> Wygaśnięcie danego Uprawnienia nie powoduje wygaśnięcia pozostałych Uprawnień przyznanych Uczestnikowi.</w:t>
      </w:r>
    </w:p>
    <w:p w14:paraId="3143ED2B" w14:textId="77777777" w:rsidR="006A1004" w:rsidRPr="00A11268" w:rsidRDefault="006A1004" w:rsidP="006A1004">
      <w:pPr>
        <w:pStyle w:val="Akapitzlist"/>
        <w:numPr>
          <w:ilvl w:val="1"/>
          <w:numId w:val="45"/>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 xml:space="preserve">Realizacja praw z Warrantów Subskrypcyjnych następować będzie na zasadach określonych w Uchwale </w:t>
      </w:r>
      <w:proofErr w:type="spellStart"/>
      <w:r w:rsidRPr="00A11268">
        <w:rPr>
          <w:rFonts w:asciiTheme="majorHAnsi" w:hAnsiTheme="majorHAnsi" w:cstheme="majorHAnsi"/>
          <w:sz w:val="18"/>
          <w:szCs w:val="18"/>
        </w:rPr>
        <w:t>ws</w:t>
      </w:r>
      <w:proofErr w:type="spellEnd"/>
      <w:r w:rsidRPr="00A11268">
        <w:rPr>
          <w:rFonts w:asciiTheme="majorHAnsi" w:hAnsiTheme="majorHAnsi" w:cstheme="majorHAnsi"/>
          <w:sz w:val="18"/>
          <w:szCs w:val="18"/>
        </w:rPr>
        <w:t>. Emisji Warrantów Subskrypcyjnych.</w:t>
      </w:r>
    </w:p>
    <w:p w14:paraId="15EE5148" w14:textId="77777777" w:rsidR="006A1004" w:rsidRPr="00A11268" w:rsidRDefault="006A1004" w:rsidP="006A1004">
      <w:pPr>
        <w:pStyle w:val="Akapitzlist"/>
        <w:numPr>
          <w:ilvl w:val="1"/>
          <w:numId w:val="45"/>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Objęcie Warrantów Subskrypcyjnych nastąpi z uwzględnieniem obowiązujących w danym momencie właściwych przepisów prawa i regulacji Krajowego Depozytu Papierów Wartościowych S.A.</w:t>
      </w:r>
    </w:p>
    <w:p w14:paraId="72B0F5A5"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09CCA784" w14:textId="77777777" w:rsidR="006A1004" w:rsidRPr="00A11268" w:rsidRDefault="006A1004" w:rsidP="006A1004">
      <w:pPr>
        <w:pStyle w:val="Akapitzlist"/>
        <w:spacing w:after="0" w:line="240" w:lineRule="auto"/>
        <w:ind w:left="0"/>
        <w:contextualSpacing w:val="0"/>
        <w:jc w:val="center"/>
        <w:rPr>
          <w:rFonts w:asciiTheme="majorHAnsi" w:hAnsiTheme="majorHAnsi" w:cstheme="majorHAnsi"/>
          <w:b/>
          <w:sz w:val="18"/>
          <w:szCs w:val="18"/>
        </w:rPr>
      </w:pPr>
      <w:r w:rsidRPr="00A11268">
        <w:rPr>
          <w:rFonts w:asciiTheme="majorHAnsi" w:hAnsiTheme="majorHAnsi" w:cstheme="majorHAnsi"/>
          <w:b/>
          <w:sz w:val="18"/>
          <w:szCs w:val="18"/>
        </w:rPr>
        <w:t>Wygaśnięcie Uprawnień</w:t>
      </w:r>
    </w:p>
    <w:p w14:paraId="0B432E13" w14:textId="77777777" w:rsidR="006A1004" w:rsidRPr="00A11268" w:rsidRDefault="006A1004" w:rsidP="006A1004">
      <w:pPr>
        <w:pStyle w:val="Akapitzlist"/>
        <w:numPr>
          <w:ilvl w:val="1"/>
          <w:numId w:val="40"/>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Uprawnienie wygasa:</w:t>
      </w:r>
    </w:p>
    <w:p w14:paraId="2B4B4E71" w14:textId="77777777" w:rsidR="006A1004" w:rsidRPr="00A11268" w:rsidRDefault="006A1004" w:rsidP="006A1004">
      <w:pPr>
        <w:pStyle w:val="Akapitzlist"/>
        <w:numPr>
          <w:ilvl w:val="2"/>
          <w:numId w:val="40"/>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z chwilą przyjęcia przez Uczestnika Oferty (tj. z chwilą jego wykonania) lub z chwilą bezskutecznego upływu terminu do przyjęcia przez Uczestnika Oferty (tj. z chwilą rezygnacji Uczestnika z jego wykonania);</w:t>
      </w:r>
    </w:p>
    <w:p w14:paraId="030D2018" w14:textId="77777777" w:rsidR="006A1004" w:rsidRPr="00A11268" w:rsidRDefault="006A1004" w:rsidP="006A1004">
      <w:pPr>
        <w:pStyle w:val="Akapitzlist"/>
        <w:numPr>
          <w:ilvl w:val="2"/>
          <w:numId w:val="40"/>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 przypadku wyłączenia Uczestnika z uczestnictwa w Programie Motywacyjnym i odebrania Uczestnikowi przyznanego mu Uprawnienia zgodnie z Regulaminem Programu Motywacyjnego;</w:t>
      </w:r>
    </w:p>
    <w:p w14:paraId="2994E06F" w14:textId="77777777" w:rsidR="006A1004" w:rsidRPr="00A11268" w:rsidRDefault="006A1004" w:rsidP="006A1004">
      <w:pPr>
        <w:pStyle w:val="Akapitzlist"/>
        <w:numPr>
          <w:ilvl w:val="2"/>
          <w:numId w:val="40"/>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 przypadku rezygnacji Uczestnika z uczestnictwa w Programie Motywacyjnym;</w:t>
      </w:r>
    </w:p>
    <w:p w14:paraId="4F72C024" w14:textId="77777777" w:rsidR="006A1004" w:rsidRPr="00A11268" w:rsidRDefault="006A1004" w:rsidP="006A1004">
      <w:pPr>
        <w:pStyle w:val="Akapitzlist"/>
        <w:numPr>
          <w:ilvl w:val="2"/>
          <w:numId w:val="40"/>
        </w:numPr>
        <w:spacing w:after="120" w:line="240" w:lineRule="auto"/>
        <w:contextualSpacing w:val="0"/>
        <w:jc w:val="both"/>
        <w:rPr>
          <w:rFonts w:asciiTheme="majorHAnsi" w:hAnsiTheme="majorHAnsi" w:cstheme="majorHAnsi"/>
          <w:sz w:val="18"/>
          <w:szCs w:val="18"/>
        </w:rPr>
      </w:pPr>
      <w:r w:rsidRPr="00A11268">
        <w:rPr>
          <w:rFonts w:asciiTheme="majorHAnsi" w:eastAsia="Times New Roman" w:hAnsiTheme="majorHAnsi" w:cstheme="majorHAnsi"/>
          <w:sz w:val="18"/>
          <w:szCs w:val="18"/>
        </w:rPr>
        <w:t>w przypadku nieosiągnięcia</w:t>
      </w:r>
      <w:r>
        <w:rPr>
          <w:rFonts w:asciiTheme="majorHAnsi" w:eastAsia="Times New Roman" w:hAnsiTheme="majorHAnsi" w:cstheme="majorHAnsi"/>
          <w:sz w:val="18"/>
          <w:szCs w:val="18"/>
        </w:rPr>
        <w:t xml:space="preserve">: (i) w odniesieniu do Uprawnień BCX-CM-J – Celu BCX-CM-J do dnia 30 września 2027 r. (włącznie), (ii) w odniesieniu do Uprawnień BCX-EM – Celu BCX-EM do dnia 31 grudnia 2028 r. (włącznie) lub (iii) w odniesieniu do Uprawnień BCX-CM-AD – Celu BCX-CM-AD </w:t>
      </w:r>
      <w:r w:rsidRPr="00A11268">
        <w:rPr>
          <w:rFonts w:asciiTheme="majorHAnsi" w:hAnsiTheme="majorHAnsi" w:cstheme="majorHAnsi"/>
          <w:sz w:val="18"/>
          <w:szCs w:val="18"/>
        </w:rPr>
        <w:t>w </w:t>
      </w:r>
      <w:r>
        <w:rPr>
          <w:rFonts w:asciiTheme="majorHAnsi" w:hAnsiTheme="majorHAnsi" w:cstheme="majorHAnsi"/>
          <w:sz w:val="18"/>
          <w:szCs w:val="18"/>
        </w:rPr>
        <w:t>terminie 18 (osiemnastu) miesięcy od dnia osiągnięcia Celu BCX</w:t>
      </w:r>
      <w:r>
        <w:rPr>
          <w:rFonts w:asciiTheme="majorHAnsi" w:hAnsiTheme="majorHAnsi" w:cstheme="majorHAnsi"/>
          <w:sz w:val="18"/>
          <w:szCs w:val="18"/>
        </w:rPr>
        <w:noBreakHyphen/>
        <w:t>CM-J lub do dnia</w:t>
      </w:r>
      <w:r w:rsidRPr="00A11268">
        <w:rPr>
          <w:rFonts w:asciiTheme="majorHAnsi" w:hAnsiTheme="majorHAnsi" w:cstheme="majorHAnsi"/>
          <w:sz w:val="18"/>
          <w:szCs w:val="18"/>
        </w:rPr>
        <w:t xml:space="preserve"> </w:t>
      </w:r>
      <w:r>
        <w:rPr>
          <w:rFonts w:asciiTheme="majorHAnsi" w:hAnsiTheme="majorHAnsi" w:cstheme="majorHAnsi"/>
          <w:sz w:val="18"/>
          <w:szCs w:val="18"/>
        </w:rPr>
        <w:t>30 września 2030 r. (włącznie).</w:t>
      </w:r>
    </w:p>
    <w:p w14:paraId="0042104E" w14:textId="77777777" w:rsidR="006A1004" w:rsidRPr="00A11268" w:rsidRDefault="006A1004" w:rsidP="006A1004">
      <w:pPr>
        <w:pStyle w:val="Akapitzlist"/>
        <w:numPr>
          <w:ilvl w:val="1"/>
          <w:numId w:val="40"/>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Prawa z Warrantów Subskrypcyjnych wygasają</w:t>
      </w:r>
      <w:r w:rsidRPr="00A11268">
        <w:rPr>
          <w:rFonts w:asciiTheme="majorHAnsi" w:eastAsia="Times New Roman" w:hAnsiTheme="majorHAnsi" w:cstheme="majorHAnsi"/>
          <w:sz w:val="18"/>
          <w:szCs w:val="18"/>
        </w:rPr>
        <w:t xml:space="preserve"> </w:t>
      </w:r>
      <w:r w:rsidRPr="00A11268">
        <w:rPr>
          <w:rFonts w:asciiTheme="majorHAnsi" w:hAnsiTheme="majorHAnsi" w:cstheme="majorHAnsi"/>
          <w:sz w:val="18"/>
          <w:szCs w:val="18"/>
        </w:rPr>
        <w:t xml:space="preserve">na zasadach określonych w Uchwale </w:t>
      </w:r>
      <w:proofErr w:type="spellStart"/>
      <w:r w:rsidRPr="00A11268">
        <w:rPr>
          <w:rFonts w:asciiTheme="majorHAnsi" w:hAnsiTheme="majorHAnsi" w:cstheme="majorHAnsi"/>
          <w:sz w:val="18"/>
          <w:szCs w:val="18"/>
        </w:rPr>
        <w:t>ws</w:t>
      </w:r>
      <w:proofErr w:type="spellEnd"/>
      <w:r w:rsidRPr="00A11268">
        <w:rPr>
          <w:rFonts w:asciiTheme="majorHAnsi" w:hAnsiTheme="majorHAnsi" w:cstheme="majorHAnsi"/>
          <w:sz w:val="18"/>
          <w:szCs w:val="18"/>
        </w:rPr>
        <w:t>. Emisji Warrantów Subskrypcyjnych.</w:t>
      </w:r>
    </w:p>
    <w:p w14:paraId="0178310B"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7AFE2905" w14:textId="77777777" w:rsidR="006A1004" w:rsidRPr="00A11268" w:rsidRDefault="006A1004" w:rsidP="006A1004">
      <w:pPr>
        <w:spacing w:after="120" w:line="240" w:lineRule="auto"/>
        <w:jc w:val="center"/>
        <w:rPr>
          <w:rFonts w:asciiTheme="majorHAnsi" w:hAnsiTheme="majorHAnsi" w:cstheme="majorHAnsi"/>
          <w:sz w:val="18"/>
          <w:szCs w:val="18"/>
        </w:rPr>
      </w:pPr>
      <w:r w:rsidRPr="00A11268">
        <w:rPr>
          <w:rFonts w:asciiTheme="majorHAnsi" w:hAnsiTheme="majorHAnsi" w:cstheme="majorHAnsi"/>
          <w:b/>
          <w:sz w:val="18"/>
          <w:szCs w:val="18"/>
        </w:rPr>
        <w:t>Upoważnienia i delegacje</w:t>
      </w:r>
    </w:p>
    <w:p w14:paraId="03788B9C" w14:textId="77777777" w:rsidR="006A1004" w:rsidRPr="00A11268" w:rsidRDefault="006A1004" w:rsidP="006A1004">
      <w:pPr>
        <w:pStyle w:val="Akapitzlist"/>
        <w:numPr>
          <w:ilvl w:val="1"/>
          <w:numId w:val="46"/>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Pozostałe zasady i warunki realizacji Programu Motywacyjnego zostaną określone przez Zarząd, z uwzględnieniem postanowień niniejszej uchwały oraz w sposób z nią niesprzeczny, w regulaminie Programu Motywacyjnego („</w:t>
      </w:r>
      <w:r w:rsidRPr="00A11268">
        <w:rPr>
          <w:rFonts w:asciiTheme="majorHAnsi" w:hAnsiTheme="majorHAnsi" w:cstheme="majorHAnsi"/>
          <w:b/>
          <w:sz w:val="18"/>
          <w:szCs w:val="18"/>
        </w:rPr>
        <w:t>Regulamin Programu Motywacyjnego</w:t>
      </w:r>
      <w:r w:rsidRPr="00A11268">
        <w:rPr>
          <w:rFonts w:asciiTheme="majorHAnsi" w:hAnsiTheme="majorHAnsi" w:cstheme="majorHAnsi"/>
          <w:sz w:val="18"/>
          <w:szCs w:val="18"/>
        </w:rPr>
        <w:t>”). Regulamin Programu Motywacyjnego wymaga zatwierdzenia przez Radę Nadzorczą.</w:t>
      </w:r>
    </w:p>
    <w:p w14:paraId="42909000" w14:textId="77777777" w:rsidR="006A1004" w:rsidRPr="00A11268" w:rsidRDefault="006A1004" w:rsidP="006A1004">
      <w:pPr>
        <w:pStyle w:val="Akapitzlist"/>
        <w:numPr>
          <w:ilvl w:val="1"/>
          <w:numId w:val="46"/>
        </w:numPr>
        <w:spacing w:after="120" w:line="240" w:lineRule="auto"/>
        <w:contextualSpacing w:val="0"/>
        <w:jc w:val="both"/>
        <w:rPr>
          <w:rFonts w:asciiTheme="majorHAnsi" w:hAnsiTheme="majorHAnsi" w:cstheme="majorHAnsi"/>
          <w:sz w:val="18"/>
          <w:szCs w:val="18"/>
        </w:rPr>
      </w:pPr>
      <w:r w:rsidRPr="00A11268">
        <w:rPr>
          <w:rFonts w:asciiTheme="majorHAnsi" w:hAnsiTheme="majorHAnsi" w:cstheme="majorHAnsi"/>
          <w:sz w:val="18"/>
          <w:szCs w:val="18"/>
        </w:rPr>
        <w:t>W związku z ustanowieniem Programu Motywacyjnego upoważnia się Zarząd oraz Radę Nadzorczą do podjęcia wszelkich czynności niezbędnych do lub związanych z realizacją niniejszej uchwały. W szczególności upoważnia się Zarząd do:</w:t>
      </w:r>
    </w:p>
    <w:p w14:paraId="3EF12FE9" w14:textId="77777777" w:rsidR="006A1004" w:rsidRPr="00A11268" w:rsidRDefault="006A1004" w:rsidP="006A1004">
      <w:pPr>
        <w:pStyle w:val="Akapitzlist"/>
        <w:numPr>
          <w:ilvl w:val="2"/>
          <w:numId w:val="46"/>
        </w:numPr>
        <w:spacing w:after="120" w:line="240" w:lineRule="auto"/>
        <w:ind w:left="426" w:hanging="284"/>
        <w:contextualSpacing w:val="0"/>
        <w:jc w:val="both"/>
        <w:rPr>
          <w:rFonts w:asciiTheme="majorHAnsi" w:hAnsiTheme="majorHAnsi" w:cstheme="majorHAnsi"/>
          <w:sz w:val="18"/>
          <w:szCs w:val="18"/>
        </w:rPr>
      </w:pPr>
      <w:r w:rsidRPr="00A11268">
        <w:rPr>
          <w:rFonts w:asciiTheme="majorHAnsi" w:hAnsiTheme="majorHAnsi" w:cstheme="majorHAnsi"/>
          <w:sz w:val="18"/>
          <w:szCs w:val="18"/>
        </w:rPr>
        <w:t>uchwalenia Regulaminu Programu Motywacyjnego określającego pozostałe warunki i zasady realizacji Programu Motywacyjnego, z uwzględnieniem założeń określonych w niniejszej uchwale, a w szczególności określenia wzoru Umowy Uczestnictwa oraz terminów i trybu jej zawierania, terminów i trybu realizacji Uprawnień, wzoru Oferty, wzorów pozostałej dokumentacji Programu Motywacyjnego, jak również przypadków, w których</w:t>
      </w:r>
      <w:r>
        <w:rPr>
          <w:rFonts w:asciiTheme="majorHAnsi" w:hAnsiTheme="majorHAnsi" w:cstheme="majorHAnsi"/>
          <w:sz w:val="18"/>
          <w:szCs w:val="18"/>
        </w:rPr>
        <w:t xml:space="preserve"> Zarząd</w:t>
      </w:r>
      <w:r w:rsidRPr="00A11268">
        <w:rPr>
          <w:rFonts w:asciiTheme="majorHAnsi" w:hAnsiTheme="majorHAnsi" w:cstheme="majorHAnsi"/>
          <w:sz w:val="18"/>
          <w:szCs w:val="18"/>
        </w:rPr>
        <w:t xml:space="preserve"> będzie uprawniony do wyłączenia Uczestnika z uczestnictwa w Programie Motywacyjnym i odebrania Uczestnikowi przyznan</w:t>
      </w:r>
      <w:r>
        <w:rPr>
          <w:rFonts w:asciiTheme="majorHAnsi" w:hAnsiTheme="majorHAnsi" w:cstheme="majorHAnsi"/>
          <w:sz w:val="18"/>
          <w:szCs w:val="18"/>
        </w:rPr>
        <w:t>ych</w:t>
      </w:r>
      <w:r w:rsidRPr="00A11268">
        <w:rPr>
          <w:rFonts w:asciiTheme="majorHAnsi" w:hAnsiTheme="majorHAnsi" w:cstheme="majorHAnsi"/>
          <w:sz w:val="18"/>
          <w:szCs w:val="18"/>
        </w:rPr>
        <w:t xml:space="preserve"> mu</w:t>
      </w:r>
      <w:r>
        <w:rPr>
          <w:rFonts w:asciiTheme="majorHAnsi" w:hAnsiTheme="majorHAnsi" w:cstheme="majorHAnsi"/>
          <w:sz w:val="18"/>
          <w:szCs w:val="18"/>
        </w:rPr>
        <w:t> </w:t>
      </w:r>
      <w:r w:rsidRPr="00A11268">
        <w:rPr>
          <w:rFonts w:asciiTheme="majorHAnsi" w:hAnsiTheme="majorHAnsi" w:cstheme="majorHAnsi"/>
          <w:sz w:val="18"/>
          <w:szCs w:val="18"/>
        </w:rPr>
        <w:t>Uprawn</w:t>
      </w:r>
      <w:r>
        <w:rPr>
          <w:rFonts w:asciiTheme="majorHAnsi" w:hAnsiTheme="majorHAnsi" w:cstheme="majorHAnsi"/>
          <w:sz w:val="18"/>
          <w:szCs w:val="18"/>
        </w:rPr>
        <w:t>ień</w:t>
      </w:r>
      <w:r w:rsidRPr="00A11268">
        <w:rPr>
          <w:rFonts w:asciiTheme="majorHAnsi" w:hAnsiTheme="majorHAnsi" w:cstheme="majorHAnsi"/>
          <w:sz w:val="18"/>
          <w:szCs w:val="18"/>
        </w:rPr>
        <w:t>;</w:t>
      </w:r>
    </w:p>
    <w:p w14:paraId="45C7C44D" w14:textId="77777777" w:rsidR="006A1004" w:rsidRPr="00A11268" w:rsidRDefault="006A1004" w:rsidP="006A1004">
      <w:pPr>
        <w:pStyle w:val="Akapitzlist"/>
        <w:numPr>
          <w:ilvl w:val="2"/>
          <w:numId w:val="46"/>
        </w:numPr>
        <w:spacing w:after="120" w:line="240" w:lineRule="auto"/>
        <w:ind w:left="426" w:hanging="284"/>
        <w:contextualSpacing w:val="0"/>
        <w:jc w:val="both"/>
        <w:rPr>
          <w:rFonts w:asciiTheme="majorHAnsi" w:hAnsiTheme="majorHAnsi" w:cstheme="majorHAnsi"/>
          <w:sz w:val="18"/>
          <w:szCs w:val="18"/>
        </w:rPr>
      </w:pPr>
      <w:r w:rsidRPr="00A11268">
        <w:rPr>
          <w:rFonts w:asciiTheme="majorHAnsi" w:hAnsiTheme="majorHAnsi" w:cstheme="majorHAnsi"/>
          <w:sz w:val="18"/>
          <w:szCs w:val="18"/>
        </w:rPr>
        <w:t>tworzenia listy Uczestników;</w:t>
      </w:r>
    </w:p>
    <w:p w14:paraId="1BC2A2D4" w14:textId="77777777" w:rsidR="006A1004" w:rsidRPr="00A11268" w:rsidRDefault="006A1004" w:rsidP="006A1004">
      <w:pPr>
        <w:pStyle w:val="Akapitzlist"/>
        <w:numPr>
          <w:ilvl w:val="2"/>
          <w:numId w:val="46"/>
        </w:numPr>
        <w:spacing w:after="120" w:line="240" w:lineRule="auto"/>
        <w:ind w:left="426" w:hanging="284"/>
        <w:contextualSpacing w:val="0"/>
        <w:jc w:val="both"/>
        <w:rPr>
          <w:rFonts w:asciiTheme="majorHAnsi" w:hAnsiTheme="majorHAnsi" w:cstheme="majorHAnsi"/>
          <w:sz w:val="18"/>
          <w:szCs w:val="18"/>
        </w:rPr>
      </w:pPr>
      <w:r w:rsidRPr="00A11268">
        <w:rPr>
          <w:rFonts w:asciiTheme="majorHAnsi" w:hAnsiTheme="majorHAnsi" w:cstheme="majorHAnsi"/>
          <w:sz w:val="18"/>
          <w:szCs w:val="18"/>
        </w:rPr>
        <w:t>przygotowania wszelkich koniecznych wniosków oraz dokumentacji na potrzeby Rady Nadzorczej, w celu wykonywania przez nią postanowień niniejszej uchwały.</w:t>
      </w:r>
    </w:p>
    <w:p w14:paraId="14ED653A"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72511D1C" w14:textId="77777777" w:rsidR="006A1004" w:rsidRPr="00A11268" w:rsidRDefault="006A1004" w:rsidP="006A1004">
      <w:pPr>
        <w:spacing w:after="120" w:line="240" w:lineRule="auto"/>
        <w:jc w:val="center"/>
        <w:rPr>
          <w:rFonts w:asciiTheme="majorHAnsi" w:hAnsiTheme="majorHAnsi" w:cstheme="majorHAnsi"/>
          <w:b/>
          <w:bCs/>
          <w:sz w:val="18"/>
          <w:szCs w:val="18"/>
        </w:rPr>
      </w:pPr>
      <w:r w:rsidRPr="00A11268">
        <w:rPr>
          <w:rFonts w:asciiTheme="majorHAnsi" w:hAnsiTheme="majorHAnsi" w:cstheme="majorHAnsi"/>
          <w:b/>
          <w:bCs/>
          <w:sz w:val="18"/>
          <w:szCs w:val="18"/>
        </w:rPr>
        <w:t>Uchylenie dotychczasowego programu motywacyjnego</w:t>
      </w:r>
    </w:p>
    <w:p w14:paraId="2CD6C079" w14:textId="77777777" w:rsidR="006A1004" w:rsidRPr="00A11268" w:rsidRDefault="006A1004" w:rsidP="006A1004">
      <w:pPr>
        <w:spacing w:after="120" w:line="240" w:lineRule="auto"/>
        <w:jc w:val="both"/>
        <w:rPr>
          <w:rFonts w:asciiTheme="majorHAnsi" w:hAnsiTheme="majorHAnsi" w:cstheme="majorHAnsi"/>
          <w:bCs/>
          <w:sz w:val="18"/>
          <w:szCs w:val="18"/>
        </w:rPr>
      </w:pPr>
      <w:r w:rsidRPr="00A11268">
        <w:rPr>
          <w:rFonts w:asciiTheme="majorHAnsi" w:hAnsiTheme="majorHAnsi" w:cstheme="majorHAnsi"/>
          <w:bCs/>
          <w:sz w:val="18"/>
          <w:szCs w:val="18"/>
        </w:rPr>
        <w:t>W związku z ustanowieniem Programu Motywacyjnego, Zwyczajne Walne Zgromadzenie Spółki postanawia uchylić w całości uchwałę nr 05/02/2021 Nadzwyczajnego Walnego Zgromadzenia Spółki z dnia 09 lutego 2021 r. zmienionej uchwałą nr 19/06/2024 Zwyczajnego Walnego Zgromadzenia Spółki z dnia 26 czerwca 2024 r.</w:t>
      </w:r>
    </w:p>
    <w:p w14:paraId="45A29AD4" w14:textId="77777777" w:rsidR="006A1004" w:rsidRPr="00A11268" w:rsidRDefault="006A1004" w:rsidP="006A1004">
      <w:pPr>
        <w:pStyle w:val="Akapitzlist"/>
        <w:numPr>
          <w:ilvl w:val="0"/>
          <w:numId w:val="35"/>
        </w:numPr>
        <w:spacing w:before="120" w:after="0" w:line="240" w:lineRule="auto"/>
        <w:ind w:left="0" w:firstLine="284"/>
        <w:contextualSpacing w:val="0"/>
        <w:jc w:val="center"/>
        <w:rPr>
          <w:rFonts w:asciiTheme="majorHAnsi" w:hAnsiTheme="majorHAnsi" w:cstheme="majorHAnsi"/>
          <w:sz w:val="18"/>
          <w:szCs w:val="18"/>
        </w:rPr>
      </w:pPr>
    </w:p>
    <w:p w14:paraId="0A1A8BB0" w14:textId="77777777" w:rsidR="006A1004" w:rsidRPr="00A11268" w:rsidRDefault="006A1004" w:rsidP="006A1004">
      <w:pPr>
        <w:keepNext/>
        <w:spacing w:after="240" w:line="240" w:lineRule="auto"/>
        <w:jc w:val="center"/>
        <w:rPr>
          <w:rFonts w:asciiTheme="majorHAnsi" w:hAnsiTheme="majorHAnsi" w:cstheme="majorHAnsi"/>
          <w:b/>
          <w:sz w:val="18"/>
          <w:szCs w:val="18"/>
        </w:rPr>
      </w:pPr>
      <w:r w:rsidRPr="00A11268">
        <w:rPr>
          <w:rFonts w:asciiTheme="majorHAnsi" w:hAnsiTheme="majorHAnsi" w:cstheme="majorHAnsi"/>
          <w:b/>
          <w:sz w:val="18"/>
          <w:szCs w:val="18"/>
        </w:rPr>
        <w:t>Wejście w życie</w:t>
      </w:r>
    </w:p>
    <w:p w14:paraId="376D9C28" w14:textId="77777777" w:rsidR="006A1004" w:rsidRPr="00467B5A" w:rsidRDefault="006A1004" w:rsidP="006A1004">
      <w:pPr>
        <w:spacing w:line="240" w:lineRule="auto"/>
        <w:rPr>
          <w:rFonts w:asciiTheme="majorHAnsi" w:hAnsiTheme="majorHAnsi" w:cstheme="majorHAnsi"/>
          <w:b/>
          <w:i/>
          <w:sz w:val="18"/>
          <w:szCs w:val="18"/>
          <w:lang w:eastAsia="pl-PL"/>
        </w:rPr>
      </w:pPr>
      <w:r w:rsidRPr="00A11268">
        <w:rPr>
          <w:rFonts w:asciiTheme="majorHAnsi" w:eastAsia="Times New Roman" w:hAnsiTheme="majorHAnsi" w:cstheme="majorHAnsi"/>
          <w:sz w:val="18"/>
          <w:szCs w:val="18"/>
        </w:rPr>
        <w:t>Niniejsza uchwała wchodzi w życie z</w:t>
      </w:r>
      <w:r>
        <w:rPr>
          <w:rFonts w:asciiTheme="majorHAnsi" w:eastAsia="Times New Roman" w:hAnsiTheme="majorHAnsi" w:cstheme="majorHAnsi"/>
          <w:sz w:val="18"/>
          <w:szCs w:val="18"/>
        </w:rPr>
        <w:t xml:space="preserve"> chwilą</w:t>
      </w:r>
      <w:r w:rsidRPr="00A11268">
        <w:rPr>
          <w:rFonts w:asciiTheme="majorHAnsi" w:eastAsia="Times New Roman" w:hAnsiTheme="majorHAnsi" w:cstheme="majorHAnsi"/>
          <w:sz w:val="18"/>
          <w:szCs w:val="18"/>
        </w:rPr>
        <w:t xml:space="preserve"> podjęcia.</w:t>
      </w:r>
    </w:p>
    <w:p w14:paraId="361AC62B" w14:textId="77777777" w:rsidR="004E396D" w:rsidRDefault="004E396D" w:rsidP="004E396D">
      <w:pPr>
        <w:spacing w:after="120" w:line="240" w:lineRule="auto"/>
        <w:jc w:val="both"/>
        <w:rPr>
          <w:rFonts w:asciiTheme="majorHAnsi" w:hAnsiTheme="majorHAnsi" w:cstheme="majorHAnsi"/>
          <w:b/>
          <w:i/>
          <w:sz w:val="18"/>
          <w:szCs w:val="18"/>
          <w:lang w:eastAsia="pl-PL"/>
        </w:rPr>
      </w:pPr>
    </w:p>
    <w:p w14:paraId="5ACBFEA5" w14:textId="77777777" w:rsidR="008B22F3" w:rsidRPr="004E396D" w:rsidRDefault="008B22F3" w:rsidP="004E396D">
      <w:pPr>
        <w:spacing w:after="120" w:line="240" w:lineRule="auto"/>
        <w:jc w:val="both"/>
        <w:rPr>
          <w:rFonts w:asciiTheme="majorHAnsi" w:hAnsiTheme="majorHAnsi" w:cstheme="majorHAnsi"/>
          <w:b/>
          <w:i/>
          <w:sz w:val="18"/>
          <w:szCs w:val="18"/>
          <w:lang w:eastAsia="pl-PL"/>
        </w:rPr>
      </w:pPr>
    </w:p>
    <w:p w14:paraId="23E827C0" w14:textId="77777777" w:rsidR="004E396D" w:rsidRPr="002C24BD" w:rsidRDefault="004E396D" w:rsidP="004E396D">
      <w:pPr>
        <w:spacing w:after="0" w:line="288" w:lineRule="auto"/>
        <w:jc w:val="center"/>
        <w:outlineLvl w:val="0"/>
        <w:rPr>
          <w:rFonts w:ascii="Calibri Light" w:hAnsi="Calibri Light" w:cs="Calibri Light"/>
          <w:color w:val="000000"/>
          <w:sz w:val="18"/>
          <w:szCs w:val="18"/>
        </w:rPr>
      </w:pPr>
      <w:r w:rsidRPr="002C24BD">
        <w:rPr>
          <w:rFonts w:ascii="Calibri Light" w:hAnsi="Calibri Light" w:cs="Calibri Light"/>
          <w:b/>
          <w:bCs/>
          <w:color w:val="000000"/>
          <w:sz w:val="18"/>
          <w:szCs w:val="18"/>
        </w:rPr>
        <w:lastRenderedPageBreak/>
        <w:t>INSTRUKCJA GŁOSOWANIA:</w:t>
      </w:r>
    </w:p>
    <w:p w14:paraId="1C49BC21"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rPr>
      </w:pPr>
    </w:p>
    <w:tbl>
      <w:tblPr>
        <w:tblStyle w:val="Tabela-Siatka"/>
        <w:tblW w:w="0" w:type="auto"/>
        <w:tblLook w:val="04A0" w:firstRow="1" w:lastRow="0" w:firstColumn="1" w:lastColumn="0" w:noHBand="0" w:noVBand="1"/>
      </w:tblPr>
      <w:tblGrid>
        <w:gridCol w:w="1802"/>
        <w:gridCol w:w="1802"/>
        <w:gridCol w:w="1807"/>
        <w:gridCol w:w="1834"/>
        <w:gridCol w:w="1817"/>
      </w:tblGrid>
      <w:tr w:rsidR="004E396D" w:rsidRPr="002C24BD" w14:paraId="1BB70D13" w14:textId="77777777" w:rsidTr="00157115">
        <w:trPr>
          <w:trHeight w:val="1028"/>
        </w:trPr>
        <w:tc>
          <w:tcPr>
            <w:tcW w:w="1802" w:type="dxa"/>
          </w:tcPr>
          <w:p w14:paraId="53C30D7C"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Głosuję za uchwałą</w:t>
            </w:r>
          </w:p>
        </w:tc>
        <w:tc>
          <w:tcPr>
            <w:tcW w:w="1802" w:type="dxa"/>
          </w:tcPr>
          <w:p w14:paraId="7CE94388"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Głosuję przeciwko uchwale</w:t>
            </w:r>
          </w:p>
        </w:tc>
        <w:tc>
          <w:tcPr>
            <w:tcW w:w="1807" w:type="dxa"/>
          </w:tcPr>
          <w:p w14:paraId="1BD0B16B"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Wstrzymuję się</w:t>
            </w:r>
          </w:p>
        </w:tc>
        <w:tc>
          <w:tcPr>
            <w:tcW w:w="1834" w:type="dxa"/>
          </w:tcPr>
          <w:p w14:paraId="303316D6"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Żądam zaprotokołowania sprzeciwu</w:t>
            </w:r>
          </w:p>
        </w:tc>
        <w:tc>
          <w:tcPr>
            <w:tcW w:w="1817" w:type="dxa"/>
          </w:tcPr>
          <w:p w14:paraId="32FFD5BA"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Według uznania pełnomocnika </w:t>
            </w:r>
          </w:p>
        </w:tc>
      </w:tr>
      <w:tr w:rsidR="004E396D" w:rsidRPr="002C24BD" w14:paraId="17B4BD14" w14:textId="77777777" w:rsidTr="00157115">
        <w:trPr>
          <w:trHeight w:val="2010"/>
        </w:trPr>
        <w:tc>
          <w:tcPr>
            <w:tcW w:w="1802" w:type="dxa"/>
          </w:tcPr>
          <w:p w14:paraId="587D56D6"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65408" behindDoc="0" locked="0" layoutInCell="1" allowOverlap="1" wp14:anchorId="622AD3BC" wp14:editId="2009B66E">
                      <wp:simplePos x="0" y="0"/>
                      <wp:positionH relativeFrom="column">
                        <wp:posOffset>440055</wp:posOffset>
                      </wp:positionH>
                      <wp:positionV relativeFrom="paragraph">
                        <wp:posOffset>130175</wp:posOffset>
                      </wp:positionV>
                      <wp:extent cx="209550" cy="209550"/>
                      <wp:effectExtent l="0" t="0" r="19050" b="19050"/>
                      <wp:wrapNone/>
                      <wp:docPr id="662844271" name="Prostokąt 662844271"/>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32CCF" id="Prostokąt 662844271" o:spid="_x0000_s1026" style="position:absolute;margin-left:34.65pt;margin-top:10.25pt;width:16.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5B792DC7"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52DE038F"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A3B5DBE"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4287FEDE"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7649510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75B582B4"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4F643098"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tc>
        <w:tc>
          <w:tcPr>
            <w:tcW w:w="1802" w:type="dxa"/>
          </w:tcPr>
          <w:p w14:paraId="51A9252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66432" behindDoc="0" locked="0" layoutInCell="1" allowOverlap="1" wp14:anchorId="2FA8595A" wp14:editId="68789ECB">
                      <wp:simplePos x="0" y="0"/>
                      <wp:positionH relativeFrom="column">
                        <wp:posOffset>440055</wp:posOffset>
                      </wp:positionH>
                      <wp:positionV relativeFrom="paragraph">
                        <wp:posOffset>130175</wp:posOffset>
                      </wp:positionV>
                      <wp:extent cx="209550" cy="209550"/>
                      <wp:effectExtent l="0" t="0" r="19050" b="19050"/>
                      <wp:wrapNone/>
                      <wp:docPr id="827378599" name="Prostokąt 827378599"/>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FB04A" id="Prostokąt 827378599" o:spid="_x0000_s1026" style="position:absolute;margin-left:34.65pt;margin-top:10.25pt;width:16.5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61029B76"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3C12DF5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3B0F3F3C"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52F9BBD5"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51A7CED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2DB60C1B"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c>
          <w:tcPr>
            <w:tcW w:w="1807" w:type="dxa"/>
          </w:tcPr>
          <w:p w14:paraId="3BFB3C07"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67456" behindDoc="0" locked="0" layoutInCell="1" allowOverlap="1" wp14:anchorId="7670CE6C" wp14:editId="60AC0F07">
                      <wp:simplePos x="0" y="0"/>
                      <wp:positionH relativeFrom="column">
                        <wp:posOffset>440055</wp:posOffset>
                      </wp:positionH>
                      <wp:positionV relativeFrom="paragraph">
                        <wp:posOffset>130175</wp:posOffset>
                      </wp:positionV>
                      <wp:extent cx="209550" cy="209550"/>
                      <wp:effectExtent l="0" t="0" r="19050" b="19050"/>
                      <wp:wrapNone/>
                      <wp:docPr id="1277906023" name="Prostokąt 1277906023"/>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2E728" id="Prostokąt 1277906023" o:spid="_x0000_s1026" style="position:absolute;margin-left:34.65pt;margin-top:10.25pt;width:16.5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303AB8A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57CBA06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39D5B4A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567F988C"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780C09B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00DD05E0"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c>
          <w:tcPr>
            <w:tcW w:w="1834" w:type="dxa"/>
          </w:tcPr>
          <w:p w14:paraId="3A3720F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68480" behindDoc="0" locked="0" layoutInCell="1" allowOverlap="1" wp14:anchorId="43C95AE1" wp14:editId="1EB053B0">
                      <wp:simplePos x="0" y="0"/>
                      <wp:positionH relativeFrom="column">
                        <wp:posOffset>440055</wp:posOffset>
                      </wp:positionH>
                      <wp:positionV relativeFrom="paragraph">
                        <wp:posOffset>130175</wp:posOffset>
                      </wp:positionV>
                      <wp:extent cx="209550" cy="209550"/>
                      <wp:effectExtent l="0" t="0" r="19050" b="19050"/>
                      <wp:wrapNone/>
                      <wp:docPr id="502460490" name="Prostokąt 502460490"/>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DA819" id="Prostokąt 502460490" o:spid="_x0000_s1026" style="position:absolute;margin-left:34.65pt;margin-top:10.25pt;width:16.5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6FF78ABA"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0691EA5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6D7233B"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66F674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tc>
        <w:tc>
          <w:tcPr>
            <w:tcW w:w="1817" w:type="dxa"/>
          </w:tcPr>
          <w:p w14:paraId="1ADAB8C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69504" behindDoc="0" locked="0" layoutInCell="1" allowOverlap="1" wp14:anchorId="6D875AA1" wp14:editId="7CACCE91">
                      <wp:simplePos x="0" y="0"/>
                      <wp:positionH relativeFrom="column">
                        <wp:posOffset>440055</wp:posOffset>
                      </wp:positionH>
                      <wp:positionV relativeFrom="paragraph">
                        <wp:posOffset>130175</wp:posOffset>
                      </wp:positionV>
                      <wp:extent cx="209550" cy="209550"/>
                      <wp:effectExtent l="0" t="0" r="19050" b="19050"/>
                      <wp:wrapNone/>
                      <wp:docPr id="652906934" name="Prostokąt 652906934"/>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25281" id="Prostokąt 652906934" o:spid="_x0000_s1026" style="position:absolute;margin-left:34.65pt;margin-top:10.25pt;width:16.5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53EFB94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EA2E255"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39D1AA0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3B758007"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5BD551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6B758D25"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r>
    </w:tbl>
    <w:p w14:paraId="0BC66CD4"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rPr>
      </w:pPr>
    </w:p>
    <w:p w14:paraId="5649BC35"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 xml:space="preserve">W przypadku głosowania przeciwko uchwale, Akcjonariusz może poniżej wyrazić sprzeciw z </w:t>
      </w:r>
      <w:r>
        <w:rPr>
          <w:rFonts w:ascii="Calibri Light" w:hAnsi="Calibri Light" w:cs="Calibri Light"/>
          <w:b/>
          <w:bCs/>
          <w:color w:val="000000"/>
          <w:sz w:val="18"/>
          <w:szCs w:val="18"/>
          <w:u w:val="single"/>
        </w:rPr>
        <w:t>żądaniem wpisania sprzeciwu</w:t>
      </w:r>
      <w:r w:rsidRPr="002C24BD">
        <w:rPr>
          <w:rFonts w:ascii="Calibri Light" w:hAnsi="Calibri Light" w:cs="Calibri Light"/>
          <w:b/>
          <w:bCs/>
          <w:color w:val="000000"/>
          <w:sz w:val="18"/>
          <w:szCs w:val="18"/>
          <w:u w:val="single"/>
        </w:rPr>
        <w:t xml:space="preserve"> do protokołu. </w:t>
      </w:r>
    </w:p>
    <w:p w14:paraId="65C62A1F"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7E4AE48A"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sprzeciwu:</w:t>
      </w:r>
    </w:p>
    <w:tbl>
      <w:tblPr>
        <w:tblStyle w:val="Tabela-Siatka"/>
        <w:tblW w:w="0" w:type="auto"/>
        <w:tblLook w:val="04A0" w:firstRow="1" w:lastRow="0" w:firstColumn="1" w:lastColumn="0" w:noHBand="0" w:noVBand="1"/>
      </w:tblPr>
      <w:tblGrid>
        <w:gridCol w:w="9062"/>
      </w:tblGrid>
      <w:tr w:rsidR="004E396D" w:rsidRPr="002C24BD" w14:paraId="039602A7" w14:textId="77777777" w:rsidTr="00157115">
        <w:trPr>
          <w:trHeight w:val="590"/>
        </w:trPr>
        <w:tc>
          <w:tcPr>
            <w:tcW w:w="9180" w:type="dxa"/>
          </w:tcPr>
          <w:p w14:paraId="1A2E76F3"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2CF060E3"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1CC1C25A"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5049C106"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 xml:space="preserve">Instrukcje dotyczące sposobu głosowania przez pełnomocnika w sprawie podjęcia Uchwały. </w:t>
      </w:r>
    </w:p>
    <w:p w14:paraId="387EE436"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7705CE12"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instrukcji:</w:t>
      </w:r>
    </w:p>
    <w:tbl>
      <w:tblPr>
        <w:tblStyle w:val="Tabela-Siatka"/>
        <w:tblW w:w="0" w:type="auto"/>
        <w:tblLook w:val="04A0" w:firstRow="1" w:lastRow="0" w:firstColumn="1" w:lastColumn="0" w:noHBand="0" w:noVBand="1"/>
      </w:tblPr>
      <w:tblGrid>
        <w:gridCol w:w="9062"/>
      </w:tblGrid>
      <w:tr w:rsidR="004E396D" w:rsidRPr="002C24BD" w14:paraId="3110883D" w14:textId="77777777" w:rsidTr="00157115">
        <w:trPr>
          <w:trHeight w:val="590"/>
        </w:trPr>
        <w:tc>
          <w:tcPr>
            <w:tcW w:w="9180" w:type="dxa"/>
          </w:tcPr>
          <w:p w14:paraId="34BF7C4E"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62476613"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6823BF8A"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3E780CC4" w14:textId="77777777" w:rsidR="004E396D" w:rsidRPr="002C24BD" w:rsidRDefault="004E396D" w:rsidP="004E396D">
      <w:pPr>
        <w:autoSpaceDE w:val="0"/>
        <w:autoSpaceDN w:val="0"/>
        <w:adjustRightInd w:val="0"/>
        <w:spacing w:after="0" w:line="240" w:lineRule="auto"/>
        <w:jc w:val="both"/>
        <w:rPr>
          <w:rFonts w:ascii="Calibri Light" w:hAnsi="Calibri Light" w:cs="Calibri Light"/>
          <w:b/>
          <w:bCs/>
          <w:color w:val="000000"/>
          <w:sz w:val="18"/>
          <w:szCs w:val="18"/>
        </w:rPr>
      </w:pPr>
      <w:r w:rsidRPr="002C24BD">
        <w:rPr>
          <w:rFonts w:ascii="Calibri Light" w:hAnsi="Calibri Light" w:cs="Calibri Light"/>
          <w:b/>
          <w:bCs/>
          <w:color w:val="000000"/>
          <w:sz w:val="18"/>
          <w:szCs w:val="18"/>
          <w:u w:val="single"/>
        </w:rPr>
        <w:t>Instrukcje dotyczące sposobu głosowania przez pełnomocnika w przypadku, gdy treść projektu uchwały załączonej</w:t>
      </w:r>
      <w:r>
        <w:rPr>
          <w:rFonts w:ascii="Calibri Light" w:hAnsi="Calibri Light" w:cs="Calibri Light"/>
          <w:b/>
          <w:bCs/>
          <w:color w:val="000000"/>
          <w:sz w:val="18"/>
          <w:szCs w:val="18"/>
          <w:u w:val="single"/>
        </w:rPr>
        <w:t xml:space="preserve"> </w:t>
      </w:r>
      <w:r w:rsidRPr="002C24BD">
        <w:rPr>
          <w:rFonts w:ascii="Calibri Light" w:hAnsi="Calibri Light" w:cs="Calibri Light"/>
          <w:b/>
          <w:bCs/>
          <w:color w:val="000000"/>
          <w:sz w:val="18"/>
          <w:szCs w:val="18"/>
          <w:u w:val="single"/>
        </w:rPr>
        <w:t>do formularza będzie się różnić od treści uchwały poddanej pod głosowanie na Walnym Zgromadzeniu:</w:t>
      </w:r>
      <w:r w:rsidRPr="002C24BD">
        <w:rPr>
          <w:rFonts w:ascii="Calibri Light" w:hAnsi="Calibri Light" w:cs="Calibri Light"/>
          <w:b/>
          <w:bCs/>
          <w:color w:val="000000"/>
          <w:sz w:val="18"/>
          <w:szCs w:val="18"/>
        </w:rPr>
        <w:cr/>
      </w:r>
    </w:p>
    <w:p w14:paraId="1E8E89CE"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instrukcji w przypadku innego projektu uchwały:</w:t>
      </w:r>
    </w:p>
    <w:tbl>
      <w:tblPr>
        <w:tblStyle w:val="Tabela-Siatka"/>
        <w:tblW w:w="0" w:type="auto"/>
        <w:tblLook w:val="04A0" w:firstRow="1" w:lastRow="0" w:firstColumn="1" w:lastColumn="0" w:noHBand="0" w:noVBand="1"/>
      </w:tblPr>
      <w:tblGrid>
        <w:gridCol w:w="9062"/>
      </w:tblGrid>
      <w:tr w:rsidR="004E396D" w:rsidRPr="002C24BD" w14:paraId="64C3A5E9" w14:textId="77777777" w:rsidTr="00157115">
        <w:trPr>
          <w:trHeight w:val="590"/>
        </w:trPr>
        <w:tc>
          <w:tcPr>
            <w:tcW w:w="9180" w:type="dxa"/>
          </w:tcPr>
          <w:p w14:paraId="5D496C11"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40C0BE66"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3D553854"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095ED03A"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Inne uwagi:</w:t>
      </w:r>
    </w:p>
    <w:tbl>
      <w:tblPr>
        <w:tblStyle w:val="Tabela-Siatka"/>
        <w:tblW w:w="0" w:type="auto"/>
        <w:tblLook w:val="04A0" w:firstRow="1" w:lastRow="0" w:firstColumn="1" w:lastColumn="0" w:noHBand="0" w:noVBand="1"/>
      </w:tblPr>
      <w:tblGrid>
        <w:gridCol w:w="9062"/>
      </w:tblGrid>
      <w:tr w:rsidR="004E396D" w:rsidRPr="002C24BD" w14:paraId="28F179D8" w14:textId="77777777" w:rsidTr="00157115">
        <w:trPr>
          <w:trHeight w:val="590"/>
        </w:trPr>
        <w:tc>
          <w:tcPr>
            <w:tcW w:w="9180" w:type="dxa"/>
          </w:tcPr>
          <w:p w14:paraId="1566EF27"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52DC22AB" w14:textId="77777777" w:rsidR="004E396D" w:rsidRPr="002C24BD" w:rsidRDefault="004E396D" w:rsidP="004E396D">
      <w:pPr>
        <w:spacing w:after="0" w:line="288" w:lineRule="auto"/>
        <w:ind w:left="851" w:hanging="851"/>
        <w:contextualSpacing/>
        <w:outlineLvl w:val="0"/>
        <w:rPr>
          <w:rFonts w:ascii="Calibri Light" w:hAnsi="Calibri Light" w:cs="Calibri Light"/>
          <w:b/>
          <w:bCs/>
          <w:color w:val="000000"/>
          <w:sz w:val="18"/>
          <w:szCs w:val="18"/>
          <w:highlight w:val="yellow"/>
        </w:rPr>
      </w:pPr>
    </w:p>
    <w:p w14:paraId="6FAFD274" w14:textId="77777777" w:rsidR="004E396D" w:rsidRPr="004E396D" w:rsidRDefault="004E396D" w:rsidP="004E396D">
      <w:pPr>
        <w:spacing w:after="160" w:line="240" w:lineRule="auto"/>
        <w:rPr>
          <w:rFonts w:asciiTheme="majorHAnsi" w:hAnsiTheme="majorHAnsi"/>
          <w:sz w:val="18"/>
          <w:szCs w:val="18"/>
        </w:rPr>
      </w:pPr>
    </w:p>
    <w:p w14:paraId="4700E6EF" w14:textId="77777777" w:rsidR="004E396D" w:rsidRDefault="004E396D">
      <w:pPr>
        <w:spacing w:after="160" w:line="259" w:lineRule="auto"/>
        <w:rPr>
          <w:rFonts w:asciiTheme="majorHAnsi" w:eastAsia="Times New Roman" w:hAnsiTheme="majorHAnsi" w:cstheme="majorHAnsi"/>
          <w:b/>
          <w:sz w:val="18"/>
          <w:szCs w:val="18"/>
        </w:rPr>
      </w:pPr>
      <w:r>
        <w:rPr>
          <w:rFonts w:asciiTheme="majorHAnsi" w:eastAsia="Times New Roman" w:hAnsiTheme="majorHAnsi" w:cstheme="majorHAnsi"/>
          <w:b/>
          <w:sz w:val="18"/>
          <w:szCs w:val="18"/>
        </w:rPr>
        <w:br w:type="page"/>
      </w:r>
    </w:p>
    <w:p w14:paraId="0771ACC6" w14:textId="77777777" w:rsidR="008B22F3" w:rsidRPr="00467B5A" w:rsidRDefault="008B22F3" w:rsidP="008B22F3">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lastRenderedPageBreak/>
        <w:t xml:space="preserve">Uchwała nr </w:t>
      </w:r>
      <w:r>
        <w:rPr>
          <w:rFonts w:asciiTheme="majorHAnsi" w:eastAsia="Times New Roman" w:hAnsiTheme="majorHAnsi" w:cstheme="majorHAnsi"/>
          <w:b/>
          <w:bCs/>
          <w:color w:val="000000" w:themeColor="text1"/>
          <w:sz w:val="18"/>
          <w:szCs w:val="18"/>
          <w:lang w:eastAsia="pl-PL"/>
        </w:rPr>
        <w:t>22</w:t>
      </w:r>
      <w:r w:rsidRPr="00467B5A">
        <w:rPr>
          <w:rFonts w:asciiTheme="majorHAnsi" w:eastAsia="Times New Roman" w:hAnsiTheme="majorHAnsi" w:cstheme="majorHAnsi"/>
          <w:b/>
          <w:bCs/>
          <w:color w:val="000000" w:themeColor="text1"/>
          <w:sz w:val="18"/>
          <w:szCs w:val="18"/>
          <w:lang w:eastAsia="pl-PL"/>
        </w:rPr>
        <w:t>/06/2026</w:t>
      </w:r>
    </w:p>
    <w:p w14:paraId="2EFDDF61" w14:textId="77777777" w:rsidR="008B22F3" w:rsidRPr="00467B5A" w:rsidRDefault="008B22F3" w:rsidP="008B22F3">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 xml:space="preserve">Zwyczajnego Walnego Zgromadzenia </w:t>
      </w:r>
    </w:p>
    <w:p w14:paraId="5C6F4F99" w14:textId="77777777" w:rsidR="008B22F3" w:rsidRPr="00467B5A" w:rsidRDefault="008B22F3" w:rsidP="008B22F3">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spółki pod firmą BIOCELTIX spółka akcyjna z siedzibą we Wrocławiu</w:t>
      </w:r>
    </w:p>
    <w:p w14:paraId="354D85BC" w14:textId="77777777" w:rsidR="008B22F3" w:rsidRPr="00467B5A" w:rsidRDefault="008B22F3" w:rsidP="008B22F3">
      <w:pPr>
        <w:tabs>
          <w:tab w:val="right" w:leader="hyphen" w:pos="9060"/>
        </w:tabs>
        <w:spacing w:after="0" w:line="240" w:lineRule="auto"/>
        <w:jc w:val="center"/>
        <w:rPr>
          <w:rFonts w:asciiTheme="majorHAnsi" w:eastAsia="Times New Roman" w:hAnsiTheme="majorHAnsi" w:cstheme="majorHAnsi"/>
          <w:b/>
          <w:bCs/>
          <w:color w:val="000000" w:themeColor="text1"/>
          <w:sz w:val="18"/>
          <w:szCs w:val="18"/>
          <w:lang w:eastAsia="pl-PL"/>
        </w:rPr>
      </w:pPr>
      <w:r w:rsidRPr="00467B5A">
        <w:rPr>
          <w:rFonts w:asciiTheme="majorHAnsi" w:eastAsia="Times New Roman" w:hAnsiTheme="majorHAnsi" w:cstheme="majorHAnsi"/>
          <w:b/>
          <w:bCs/>
          <w:color w:val="000000" w:themeColor="text1"/>
          <w:sz w:val="18"/>
          <w:szCs w:val="18"/>
          <w:lang w:eastAsia="pl-PL"/>
        </w:rPr>
        <w:t xml:space="preserve">z dnia </w:t>
      </w:r>
      <w:r w:rsidRPr="00D662A6">
        <w:rPr>
          <w:rFonts w:asciiTheme="majorHAnsi" w:eastAsia="Times New Roman" w:hAnsiTheme="majorHAnsi" w:cstheme="majorHAnsi"/>
          <w:b/>
          <w:bCs/>
          <w:color w:val="000000" w:themeColor="text1"/>
          <w:sz w:val="18"/>
          <w:szCs w:val="18"/>
          <w:lang w:eastAsia="pl-PL"/>
        </w:rPr>
        <w:t>16 lipca</w:t>
      </w:r>
      <w:r w:rsidRPr="00467B5A" w:rsidDel="003A6DEF">
        <w:rPr>
          <w:rFonts w:asciiTheme="majorHAnsi" w:eastAsia="Times New Roman" w:hAnsiTheme="majorHAnsi" w:cstheme="majorHAnsi"/>
          <w:b/>
          <w:bCs/>
          <w:color w:val="000000" w:themeColor="text1"/>
          <w:sz w:val="18"/>
          <w:szCs w:val="18"/>
          <w:lang w:eastAsia="pl-PL"/>
        </w:rPr>
        <w:t xml:space="preserve"> </w:t>
      </w:r>
      <w:r w:rsidRPr="00467B5A">
        <w:rPr>
          <w:rFonts w:asciiTheme="majorHAnsi" w:eastAsia="Times New Roman" w:hAnsiTheme="majorHAnsi" w:cstheme="majorHAnsi"/>
          <w:b/>
          <w:bCs/>
          <w:color w:val="000000" w:themeColor="text1"/>
          <w:sz w:val="18"/>
          <w:szCs w:val="18"/>
          <w:lang w:eastAsia="pl-PL"/>
        </w:rPr>
        <w:t>2026 roku</w:t>
      </w:r>
    </w:p>
    <w:p w14:paraId="7A105F60" w14:textId="77777777" w:rsidR="008B22F3" w:rsidRPr="007856CB" w:rsidRDefault="008B22F3" w:rsidP="008B22F3">
      <w:pPr>
        <w:spacing w:after="240" w:line="240" w:lineRule="auto"/>
        <w:jc w:val="center"/>
        <w:rPr>
          <w:rFonts w:asciiTheme="majorHAnsi" w:hAnsiTheme="majorHAnsi" w:cstheme="majorHAnsi"/>
          <w:b/>
          <w:sz w:val="18"/>
          <w:szCs w:val="18"/>
        </w:rPr>
      </w:pPr>
      <w:r w:rsidRPr="00A11268">
        <w:rPr>
          <w:rFonts w:asciiTheme="majorHAnsi" w:eastAsia="Times New Roman" w:hAnsiTheme="majorHAnsi" w:cstheme="majorHAnsi"/>
          <w:b/>
          <w:bCs/>
          <w:color w:val="000000" w:themeColor="text1"/>
          <w:sz w:val="18"/>
          <w:szCs w:val="18"/>
          <w:lang w:eastAsia="pl-PL"/>
        </w:rPr>
        <w:t xml:space="preserve">w sprawie </w:t>
      </w:r>
      <w:r w:rsidRPr="007856CB">
        <w:rPr>
          <w:rFonts w:asciiTheme="majorHAnsi" w:hAnsiTheme="majorHAnsi" w:cstheme="majorHAnsi"/>
          <w:b/>
          <w:sz w:val="18"/>
          <w:szCs w:val="18"/>
        </w:rPr>
        <w:t>emisji imiennych warrantów subskrypcyjnych serii A z wyłączeniem prawa poboru dotychczasowych akcjonariuszy, warunkowego podwyższenia kapitału zakładowego Spółki w drodze emisji akcji zwykłych na okaziciela serii H z wyłączeniem prawa poboru dotychczasowych akcjonariuszy, uchylenia uchwały nr 03/02/2021 Nadzwyczajnego Walnego Zgromadzenia Spółki z dnia 09 lutego 2021 r. i uchwały nr 04/02/2021 Nadzwyczajnego Walnego Zgromadzenia Spółki z dnia 09 lutego 2021 r. oraz związanej z powyższym zmiany statutu Spółki</w:t>
      </w:r>
    </w:p>
    <w:p w14:paraId="6127DD29" w14:textId="77777777" w:rsidR="008B22F3" w:rsidRPr="007856CB" w:rsidRDefault="008B22F3" w:rsidP="008B22F3">
      <w:pPr>
        <w:widowControl w:val="0"/>
        <w:spacing w:after="240" w:line="240" w:lineRule="auto"/>
        <w:jc w:val="both"/>
        <w:rPr>
          <w:rFonts w:asciiTheme="majorHAnsi" w:hAnsiTheme="majorHAnsi" w:cstheme="majorHAnsi"/>
          <w:sz w:val="18"/>
          <w:szCs w:val="18"/>
        </w:rPr>
      </w:pPr>
      <w:r w:rsidRPr="007856CB">
        <w:rPr>
          <w:rFonts w:asciiTheme="majorHAnsi" w:hAnsiTheme="majorHAnsi" w:cstheme="majorHAnsi"/>
          <w:color w:val="000000"/>
          <w:sz w:val="18"/>
          <w:szCs w:val="18"/>
        </w:rPr>
        <w:t>Zwyczajne Walne Zgromadzenie spółki</w:t>
      </w:r>
      <w:r w:rsidRPr="007856CB">
        <w:rPr>
          <w:rFonts w:asciiTheme="majorHAnsi" w:hAnsiTheme="majorHAnsi" w:cstheme="majorHAnsi"/>
          <w:sz w:val="18"/>
          <w:szCs w:val="18"/>
        </w:rPr>
        <w:t xml:space="preserve"> pod firmą </w:t>
      </w:r>
      <w:proofErr w:type="spellStart"/>
      <w:r w:rsidRPr="007856CB">
        <w:rPr>
          <w:rFonts w:asciiTheme="majorHAnsi" w:hAnsiTheme="majorHAnsi" w:cstheme="majorHAnsi"/>
          <w:sz w:val="18"/>
          <w:szCs w:val="18"/>
        </w:rPr>
        <w:t>Bioceltix</w:t>
      </w:r>
      <w:proofErr w:type="spellEnd"/>
      <w:r w:rsidRPr="007856CB">
        <w:rPr>
          <w:rFonts w:asciiTheme="majorHAnsi" w:hAnsiTheme="majorHAnsi" w:cstheme="majorHAnsi"/>
          <w:sz w:val="18"/>
          <w:szCs w:val="18"/>
        </w:rPr>
        <w:t xml:space="preserve"> S.A. z siedzibą we Wrocławiu („</w:t>
      </w:r>
      <w:r w:rsidRPr="007856CB">
        <w:rPr>
          <w:rFonts w:asciiTheme="majorHAnsi" w:hAnsiTheme="majorHAnsi" w:cstheme="majorHAnsi"/>
          <w:b/>
          <w:sz w:val="18"/>
          <w:szCs w:val="18"/>
        </w:rPr>
        <w:t>Spółka</w:t>
      </w:r>
      <w:r w:rsidRPr="007856CB">
        <w:rPr>
          <w:rFonts w:asciiTheme="majorHAnsi" w:hAnsiTheme="majorHAnsi" w:cstheme="majorHAnsi"/>
          <w:sz w:val="18"/>
          <w:szCs w:val="18"/>
        </w:rPr>
        <w:t>”), działając na podstawie art. 448, art. 449 § 1 i art. 453 § 2 i 3 ustawy z dnia 15 września 2000 r. - Kodeks spółek handlowych („</w:t>
      </w:r>
      <w:r w:rsidRPr="007856CB">
        <w:rPr>
          <w:rFonts w:asciiTheme="majorHAnsi" w:hAnsiTheme="majorHAnsi" w:cstheme="majorHAnsi"/>
          <w:b/>
          <w:sz w:val="18"/>
          <w:szCs w:val="18"/>
        </w:rPr>
        <w:t>KSH</w:t>
      </w:r>
      <w:r w:rsidRPr="007856CB">
        <w:rPr>
          <w:rFonts w:asciiTheme="majorHAnsi" w:hAnsiTheme="majorHAnsi" w:cstheme="majorHAnsi"/>
          <w:sz w:val="18"/>
          <w:szCs w:val="18"/>
        </w:rPr>
        <w:t xml:space="preserve">”), w związku z podjęciem przez niniejsze Zwyczajne Walne Zgromadzenie Spółki uchwały </w:t>
      </w:r>
      <w:r w:rsidRPr="006C50D9">
        <w:rPr>
          <w:rFonts w:asciiTheme="majorHAnsi" w:hAnsiTheme="majorHAnsi" w:cstheme="majorHAnsi"/>
          <w:sz w:val="18"/>
          <w:szCs w:val="18"/>
        </w:rPr>
        <w:t xml:space="preserve">nr </w:t>
      </w:r>
      <w:r>
        <w:rPr>
          <w:rFonts w:asciiTheme="majorHAnsi" w:hAnsiTheme="majorHAnsi" w:cstheme="majorHAnsi"/>
          <w:sz w:val="18"/>
          <w:szCs w:val="18"/>
        </w:rPr>
        <w:t>21</w:t>
      </w:r>
      <w:r w:rsidRPr="006C50D9">
        <w:rPr>
          <w:rFonts w:asciiTheme="majorHAnsi" w:hAnsiTheme="majorHAnsi" w:cstheme="majorHAnsi"/>
          <w:sz w:val="18"/>
          <w:szCs w:val="18"/>
        </w:rPr>
        <w:t>/06/2026 w sprawie</w:t>
      </w:r>
      <w:r w:rsidRPr="006C50D9">
        <w:rPr>
          <w:rFonts w:asciiTheme="majorHAnsi" w:hAnsiTheme="majorHAnsi" w:cstheme="majorHAnsi"/>
          <w:bCs/>
          <w:sz w:val="18"/>
          <w:szCs w:val="18"/>
        </w:rPr>
        <w:t xml:space="preserve"> ustanowienia w Spółce Programu Motywacyjnego oraz uchylenia uchwały nr 05/02/2021 Nadzwyczajnego Walnego Zgromadzenia</w:t>
      </w:r>
      <w:r w:rsidRPr="007856CB">
        <w:rPr>
          <w:rFonts w:asciiTheme="majorHAnsi" w:hAnsiTheme="majorHAnsi" w:cstheme="majorHAnsi"/>
          <w:bCs/>
          <w:sz w:val="18"/>
          <w:szCs w:val="18"/>
        </w:rPr>
        <w:t xml:space="preserve"> Spółki z dnia 09 lutego 2021 r. zmienionej uchwałą nr 19/06/2024 Zwyczajnego Walnego Zgromadzenia Spółki z dnia 26 czerwca 2024 r. </w:t>
      </w:r>
      <w:r w:rsidRPr="007856CB">
        <w:rPr>
          <w:rFonts w:asciiTheme="majorHAnsi" w:hAnsiTheme="majorHAnsi" w:cstheme="majorHAnsi"/>
          <w:sz w:val="18"/>
          <w:szCs w:val="18"/>
        </w:rPr>
        <w:t>(„</w:t>
      </w:r>
      <w:r w:rsidRPr="007856CB">
        <w:rPr>
          <w:rFonts w:asciiTheme="majorHAnsi" w:hAnsiTheme="majorHAnsi" w:cstheme="majorHAnsi"/>
          <w:b/>
          <w:sz w:val="18"/>
          <w:szCs w:val="18"/>
        </w:rPr>
        <w:t>Uchwała Programowa</w:t>
      </w:r>
      <w:r w:rsidRPr="007856CB">
        <w:rPr>
          <w:rFonts w:asciiTheme="majorHAnsi" w:hAnsiTheme="majorHAnsi" w:cstheme="majorHAnsi"/>
          <w:sz w:val="18"/>
          <w:szCs w:val="18"/>
        </w:rPr>
        <w:t>”), uchwala co następuje:</w:t>
      </w:r>
    </w:p>
    <w:p w14:paraId="515C4E54"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b/>
          <w:sz w:val="18"/>
          <w:szCs w:val="18"/>
        </w:rPr>
      </w:pPr>
    </w:p>
    <w:p w14:paraId="5D35BD96" w14:textId="77777777" w:rsidR="008B22F3" w:rsidRPr="007856CB" w:rsidRDefault="008B22F3" w:rsidP="008B22F3">
      <w:pPr>
        <w:keepNext/>
        <w:spacing w:after="120" w:line="240" w:lineRule="auto"/>
        <w:jc w:val="center"/>
        <w:rPr>
          <w:rFonts w:asciiTheme="majorHAnsi" w:hAnsiTheme="majorHAnsi" w:cstheme="majorHAnsi"/>
          <w:b/>
          <w:sz w:val="18"/>
          <w:szCs w:val="18"/>
        </w:rPr>
      </w:pPr>
      <w:r w:rsidRPr="007856CB">
        <w:rPr>
          <w:rFonts w:asciiTheme="majorHAnsi" w:hAnsiTheme="majorHAnsi" w:cstheme="majorHAnsi"/>
          <w:b/>
          <w:sz w:val="18"/>
          <w:szCs w:val="18"/>
        </w:rPr>
        <w:t>Emisja Warrantów Subskrypcyjnych</w:t>
      </w:r>
    </w:p>
    <w:p w14:paraId="71B711DC"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W celu realizacji programu motywacyjnego ustanowionego w Spółce na podstawie Uchwały Programowej („</w:t>
      </w:r>
      <w:r w:rsidRPr="007856CB">
        <w:rPr>
          <w:rFonts w:asciiTheme="majorHAnsi" w:hAnsiTheme="majorHAnsi" w:cstheme="majorHAnsi"/>
          <w:b/>
          <w:sz w:val="18"/>
          <w:szCs w:val="18"/>
        </w:rPr>
        <w:t>Program Motywacyjny</w:t>
      </w:r>
      <w:r w:rsidRPr="007856CB">
        <w:rPr>
          <w:rFonts w:asciiTheme="majorHAnsi" w:hAnsiTheme="majorHAnsi" w:cstheme="majorHAnsi"/>
          <w:sz w:val="18"/>
          <w:szCs w:val="18"/>
        </w:rPr>
        <w:t xml:space="preserve">”), Zwyczajne Walne Zgromadzenie Spółki postanawia o emisji nie więcej niż </w:t>
      </w:r>
      <w:r w:rsidRPr="00D63916">
        <w:rPr>
          <w:rFonts w:asciiTheme="majorHAnsi" w:hAnsiTheme="majorHAnsi" w:cstheme="majorHAnsi"/>
          <w:sz w:val="18"/>
          <w:szCs w:val="18"/>
        </w:rPr>
        <w:t>247.825 (dwieście czterdzieści siedem tysięcy osiemset dwadzieścia pięć)</w:t>
      </w:r>
      <w:r w:rsidRPr="007856CB">
        <w:rPr>
          <w:rFonts w:asciiTheme="majorHAnsi" w:hAnsiTheme="majorHAnsi" w:cstheme="majorHAnsi"/>
          <w:sz w:val="18"/>
          <w:szCs w:val="18"/>
        </w:rPr>
        <w:t xml:space="preserve"> imiennych warrantów subskrypcyjnych serii A, uprawniających ich posiadaczy do objęcia emitowanych przez Spółkę na podstawie niniejszej uchwały akcji zwykłych na okaziciela serii H („</w:t>
      </w:r>
      <w:r w:rsidRPr="007856CB">
        <w:rPr>
          <w:rFonts w:asciiTheme="majorHAnsi" w:hAnsiTheme="majorHAnsi" w:cstheme="majorHAnsi"/>
          <w:b/>
          <w:sz w:val="18"/>
          <w:szCs w:val="18"/>
        </w:rPr>
        <w:t>Akcje Serii H</w:t>
      </w:r>
      <w:r w:rsidRPr="007856CB">
        <w:rPr>
          <w:rFonts w:asciiTheme="majorHAnsi" w:hAnsiTheme="majorHAnsi" w:cstheme="majorHAnsi"/>
          <w:sz w:val="18"/>
          <w:szCs w:val="18"/>
        </w:rPr>
        <w:t>”) z wyłączeniem prawa poboru dotychczasowych akcjonariuszy Spółki („</w:t>
      </w:r>
      <w:r w:rsidRPr="007856CB">
        <w:rPr>
          <w:rFonts w:asciiTheme="majorHAnsi" w:hAnsiTheme="majorHAnsi" w:cstheme="majorHAnsi"/>
          <w:b/>
          <w:sz w:val="18"/>
          <w:szCs w:val="18"/>
        </w:rPr>
        <w:t>Warranty Subskrypcyjne</w:t>
      </w:r>
      <w:r w:rsidRPr="007856CB">
        <w:rPr>
          <w:rFonts w:asciiTheme="majorHAnsi" w:hAnsiTheme="majorHAnsi" w:cstheme="majorHAnsi"/>
          <w:sz w:val="18"/>
          <w:szCs w:val="18"/>
        </w:rPr>
        <w:t>”). Powyższy cel stanowi jednocześnie umotywowanie uchwały, wymagane zgodnie z</w:t>
      </w:r>
      <w:r>
        <w:rPr>
          <w:rFonts w:asciiTheme="majorHAnsi" w:hAnsiTheme="majorHAnsi" w:cstheme="majorHAnsi"/>
          <w:sz w:val="18"/>
          <w:szCs w:val="18"/>
        </w:rPr>
        <w:t> </w:t>
      </w:r>
      <w:r w:rsidRPr="007856CB">
        <w:rPr>
          <w:rFonts w:asciiTheme="majorHAnsi" w:hAnsiTheme="majorHAnsi" w:cstheme="majorHAnsi"/>
          <w:sz w:val="18"/>
          <w:szCs w:val="18"/>
        </w:rPr>
        <w:t>art.</w:t>
      </w:r>
      <w:r>
        <w:rPr>
          <w:rFonts w:asciiTheme="majorHAnsi" w:hAnsiTheme="majorHAnsi" w:cstheme="majorHAnsi"/>
          <w:sz w:val="18"/>
          <w:szCs w:val="18"/>
        </w:rPr>
        <w:t> </w:t>
      </w:r>
      <w:r w:rsidRPr="007856CB">
        <w:rPr>
          <w:rFonts w:asciiTheme="majorHAnsi" w:hAnsiTheme="majorHAnsi" w:cstheme="majorHAnsi"/>
          <w:sz w:val="18"/>
          <w:szCs w:val="18"/>
        </w:rPr>
        <w:t>449 § 1 w zw. z art. 445 §1 KSH.</w:t>
      </w:r>
    </w:p>
    <w:p w14:paraId="1735141E"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Warranty Subskrypcyjne będą podlegać rejestracji w depozycie papierów wartościowych prowadzonym przez Krajowy Depozyt Papierów Wartościowych w Warszawie S.A. („</w:t>
      </w:r>
      <w:r w:rsidRPr="007856CB">
        <w:rPr>
          <w:rFonts w:asciiTheme="majorHAnsi" w:hAnsiTheme="majorHAnsi" w:cstheme="majorHAnsi"/>
          <w:b/>
          <w:sz w:val="18"/>
          <w:szCs w:val="18"/>
        </w:rPr>
        <w:t>KDPW</w:t>
      </w:r>
      <w:r w:rsidRPr="007856CB">
        <w:rPr>
          <w:rFonts w:asciiTheme="majorHAnsi" w:hAnsiTheme="majorHAnsi" w:cstheme="majorHAnsi"/>
          <w:sz w:val="18"/>
          <w:szCs w:val="18"/>
        </w:rPr>
        <w:t>”), a zatem prawa z Warrantów Subskrypcyjnych powstaną z</w:t>
      </w:r>
      <w:r>
        <w:rPr>
          <w:rFonts w:asciiTheme="majorHAnsi" w:hAnsiTheme="majorHAnsi" w:cstheme="majorHAnsi"/>
          <w:sz w:val="18"/>
          <w:szCs w:val="18"/>
        </w:rPr>
        <w:t> </w:t>
      </w:r>
      <w:r w:rsidRPr="007856CB">
        <w:rPr>
          <w:rFonts w:asciiTheme="majorHAnsi" w:hAnsiTheme="majorHAnsi" w:cstheme="majorHAnsi"/>
          <w:sz w:val="18"/>
          <w:szCs w:val="18"/>
        </w:rPr>
        <w:t>chwilą zapisania ich po raz pierwszy na rachunku papierów wartościowych (w rozumieniu art. 4 ust. 1 ustawy z dnia 29</w:t>
      </w:r>
      <w:r>
        <w:rPr>
          <w:rFonts w:asciiTheme="majorHAnsi" w:hAnsiTheme="majorHAnsi" w:cstheme="majorHAnsi"/>
          <w:sz w:val="18"/>
          <w:szCs w:val="18"/>
        </w:rPr>
        <w:t> </w:t>
      </w:r>
      <w:r w:rsidRPr="007856CB">
        <w:rPr>
          <w:rFonts w:asciiTheme="majorHAnsi" w:hAnsiTheme="majorHAnsi" w:cstheme="majorHAnsi"/>
          <w:sz w:val="18"/>
          <w:szCs w:val="18"/>
        </w:rPr>
        <w:t>lipca 2005 r. o obrocie instrumentami finansowymi („</w:t>
      </w:r>
      <w:r w:rsidRPr="007856CB">
        <w:rPr>
          <w:rFonts w:asciiTheme="majorHAnsi" w:hAnsiTheme="majorHAnsi" w:cstheme="majorHAnsi"/>
          <w:b/>
          <w:sz w:val="18"/>
          <w:szCs w:val="18"/>
        </w:rPr>
        <w:t>Ustawa o Obrocie</w:t>
      </w:r>
      <w:r w:rsidRPr="007856CB">
        <w:rPr>
          <w:rFonts w:asciiTheme="majorHAnsi" w:hAnsiTheme="majorHAnsi" w:cstheme="majorHAnsi"/>
          <w:sz w:val="18"/>
          <w:szCs w:val="18"/>
        </w:rPr>
        <w:t>”)).</w:t>
      </w:r>
    </w:p>
    <w:p w14:paraId="6A518BA7"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Warranty Subskrypcyjne będą emitowane nieodpłatnie i nie posiadają ceny emisyjnej.</w:t>
      </w:r>
    </w:p>
    <w:p w14:paraId="55676DD1"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Prawo objęcia Warrantów Subskrypcyjnych przysługiwać będzie uczestnikom Programu Motywacyjnego („</w:t>
      </w:r>
      <w:r w:rsidRPr="007856CB">
        <w:rPr>
          <w:rFonts w:asciiTheme="majorHAnsi" w:hAnsiTheme="majorHAnsi" w:cstheme="majorHAnsi"/>
          <w:b/>
          <w:sz w:val="18"/>
          <w:szCs w:val="18"/>
        </w:rPr>
        <w:t>Uczestnicy</w:t>
      </w:r>
      <w:r w:rsidRPr="007856CB">
        <w:rPr>
          <w:rFonts w:asciiTheme="majorHAnsi" w:hAnsiTheme="majorHAnsi" w:cstheme="majorHAnsi"/>
          <w:sz w:val="18"/>
          <w:szCs w:val="18"/>
        </w:rPr>
        <w:t>”) na</w:t>
      </w:r>
      <w:r>
        <w:rPr>
          <w:rFonts w:asciiTheme="majorHAnsi" w:hAnsiTheme="majorHAnsi" w:cstheme="majorHAnsi"/>
          <w:sz w:val="18"/>
          <w:szCs w:val="18"/>
        </w:rPr>
        <w:t> </w:t>
      </w:r>
      <w:r w:rsidRPr="007856CB">
        <w:rPr>
          <w:rFonts w:asciiTheme="majorHAnsi" w:hAnsiTheme="majorHAnsi" w:cstheme="majorHAnsi"/>
          <w:sz w:val="18"/>
          <w:szCs w:val="18"/>
        </w:rPr>
        <w:t>warunkach określonych w Uchwale Programowej, przyjętym na jej podstawie regulaminie Programu Motywacyjnego oraz w uchwałach Rady Nadzorczej Spółki lub Zarządu Spółki podjętych na podstawie i w wykonaniu Uchwały Programowej.</w:t>
      </w:r>
    </w:p>
    <w:p w14:paraId="7BECD732"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Każdy Warrant Subskrypcyjny będzie uprawniał do objęcia 1 (jednej) Akcji Serii H za cenę emisyjną określoną w § 2 ust. 5 niniejszej uchwały.</w:t>
      </w:r>
    </w:p>
    <w:p w14:paraId="48088510" w14:textId="77777777" w:rsidR="008B22F3" w:rsidRPr="00F213E2"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Prawa wynikające z Warrantów Subskrypcyjnych mogą być wykon</w:t>
      </w:r>
      <w:r>
        <w:rPr>
          <w:rFonts w:asciiTheme="majorHAnsi" w:hAnsiTheme="majorHAnsi" w:cstheme="majorHAnsi"/>
          <w:sz w:val="18"/>
          <w:szCs w:val="18"/>
        </w:rPr>
        <w:t>ywane</w:t>
      </w:r>
      <w:r w:rsidRPr="007856CB">
        <w:rPr>
          <w:rFonts w:asciiTheme="majorHAnsi" w:hAnsiTheme="majorHAnsi" w:cstheme="majorHAnsi"/>
          <w:sz w:val="18"/>
          <w:szCs w:val="18"/>
        </w:rPr>
        <w:t xml:space="preserve"> przez ich posiadacza wyłącznie w</w:t>
      </w:r>
      <w:r>
        <w:rPr>
          <w:rFonts w:asciiTheme="majorHAnsi" w:hAnsiTheme="majorHAnsi" w:cstheme="majorHAnsi"/>
          <w:sz w:val="18"/>
          <w:szCs w:val="18"/>
        </w:rPr>
        <w:t xml:space="preserve"> okresach,</w:t>
      </w:r>
      <w:r w:rsidRPr="007856CB">
        <w:rPr>
          <w:rFonts w:asciiTheme="majorHAnsi" w:hAnsiTheme="majorHAnsi" w:cstheme="majorHAnsi"/>
          <w:sz w:val="18"/>
          <w:szCs w:val="18"/>
        </w:rPr>
        <w:t xml:space="preserve"> </w:t>
      </w:r>
      <w:r w:rsidRPr="000A46FB">
        <w:rPr>
          <w:rFonts w:asciiTheme="majorHAnsi" w:hAnsiTheme="majorHAnsi" w:cstheme="majorHAnsi"/>
          <w:sz w:val="18"/>
          <w:szCs w:val="18"/>
        </w:rPr>
        <w:t>nie krótszych niż</w:t>
      </w:r>
      <w:r>
        <w:rPr>
          <w:rFonts w:asciiTheme="majorHAnsi" w:hAnsiTheme="majorHAnsi" w:cstheme="majorHAnsi"/>
          <w:sz w:val="18"/>
          <w:szCs w:val="18"/>
        </w:rPr>
        <w:t xml:space="preserve"> 14</w:t>
      </w:r>
      <w:r w:rsidRPr="000A46FB">
        <w:rPr>
          <w:rFonts w:asciiTheme="majorHAnsi" w:hAnsiTheme="majorHAnsi" w:cstheme="majorHAnsi"/>
          <w:sz w:val="18"/>
          <w:szCs w:val="18"/>
        </w:rPr>
        <w:t xml:space="preserve"> (</w:t>
      </w:r>
      <w:r>
        <w:rPr>
          <w:rFonts w:asciiTheme="majorHAnsi" w:hAnsiTheme="majorHAnsi" w:cstheme="majorHAnsi"/>
          <w:sz w:val="18"/>
          <w:szCs w:val="18"/>
        </w:rPr>
        <w:t>czternaście</w:t>
      </w:r>
      <w:r w:rsidRPr="000A46FB">
        <w:rPr>
          <w:rFonts w:asciiTheme="majorHAnsi" w:hAnsiTheme="majorHAnsi" w:cstheme="majorHAnsi"/>
          <w:sz w:val="18"/>
          <w:szCs w:val="18"/>
        </w:rPr>
        <w:t>) dni każdy</w:t>
      </w:r>
      <w:r>
        <w:rPr>
          <w:rFonts w:asciiTheme="majorHAnsi" w:hAnsiTheme="majorHAnsi" w:cstheme="majorHAnsi"/>
          <w:sz w:val="18"/>
          <w:szCs w:val="18"/>
        </w:rPr>
        <w:t xml:space="preserve">, </w:t>
      </w:r>
      <w:r w:rsidRPr="000A46FB">
        <w:rPr>
          <w:rFonts w:asciiTheme="majorHAnsi" w:hAnsiTheme="majorHAnsi" w:cstheme="majorHAnsi"/>
          <w:sz w:val="18"/>
          <w:szCs w:val="18"/>
        </w:rPr>
        <w:t xml:space="preserve">które będą wyznaczane (w formie uchwały) przez Zarząd Spółki </w:t>
      </w:r>
      <w:r>
        <w:rPr>
          <w:rFonts w:asciiTheme="majorHAnsi" w:hAnsiTheme="majorHAnsi" w:cstheme="majorHAnsi"/>
          <w:sz w:val="18"/>
          <w:szCs w:val="18"/>
        </w:rPr>
        <w:t>i będą przypadać (w całości) nie rzadziej niż 1 (jeden) raz w danym roku kalendarzowym począwszy od (i) w przypadku, gdy prawa z Warrantów Subskrypcyjnych powstaną po raz pierwszy do dnia 30 września danego roku kalendarzowego (włącznie) – roku kalendarzowego, w którym prawa z Warrantów Subskrypcyjnych powstały po raz pierwszy, a (ii) w przypadku, gdy prawa z Warrantów Subskrypcyjnych powstaną po raz pierwszy po dniu 30 września danego roku kalendarzowego – roku kalendarzowego następującego po roku kalendarzowym, w którym prawa z Warrantów Subskrypcyjnych powstały po raz pierwszy („</w:t>
      </w:r>
      <w:r>
        <w:rPr>
          <w:rFonts w:asciiTheme="majorHAnsi" w:hAnsiTheme="majorHAnsi" w:cstheme="majorHAnsi"/>
          <w:b/>
          <w:bCs/>
          <w:sz w:val="18"/>
          <w:szCs w:val="18"/>
        </w:rPr>
        <w:t>Pierwszy Rok Wykonywania Warrantów Subskrypcyjnych</w:t>
      </w:r>
      <w:r>
        <w:rPr>
          <w:rFonts w:asciiTheme="majorHAnsi" w:hAnsiTheme="majorHAnsi" w:cstheme="majorHAnsi"/>
          <w:sz w:val="18"/>
          <w:szCs w:val="18"/>
        </w:rPr>
        <w:t xml:space="preserve">”) </w:t>
      </w:r>
      <w:r w:rsidRPr="00F213E2">
        <w:rPr>
          <w:rFonts w:asciiTheme="majorHAnsi" w:hAnsiTheme="majorHAnsi" w:cstheme="majorHAnsi"/>
          <w:sz w:val="18"/>
          <w:szCs w:val="18"/>
        </w:rPr>
        <w:t>(„</w:t>
      </w:r>
      <w:r w:rsidRPr="00F213E2">
        <w:rPr>
          <w:rFonts w:asciiTheme="majorHAnsi" w:hAnsiTheme="majorHAnsi" w:cstheme="majorHAnsi"/>
          <w:b/>
          <w:bCs/>
          <w:sz w:val="18"/>
          <w:szCs w:val="18"/>
        </w:rPr>
        <w:t>Okresy Wykonania Warrantów Subskrypcyjnych</w:t>
      </w:r>
      <w:r w:rsidRPr="00F213E2">
        <w:rPr>
          <w:rFonts w:asciiTheme="majorHAnsi" w:hAnsiTheme="majorHAnsi" w:cstheme="majorHAnsi"/>
          <w:sz w:val="18"/>
          <w:szCs w:val="18"/>
        </w:rPr>
        <w:t>”)</w:t>
      </w:r>
      <w:r>
        <w:rPr>
          <w:rFonts w:asciiTheme="majorHAnsi" w:hAnsiTheme="majorHAnsi" w:cstheme="majorHAnsi"/>
          <w:sz w:val="18"/>
          <w:szCs w:val="18"/>
        </w:rPr>
        <w:t xml:space="preserve">, </w:t>
      </w:r>
      <w:r w:rsidRPr="00F213E2">
        <w:rPr>
          <w:rFonts w:asciiTheme="majorHAnsi" w:hAnsiTheme="majorHAnsi" w:cstheme="majorHAnsi"/>
          <w:sz w:val="18"/>
          <w:szCs w:val="18"/>
        </w:rPr>
        <w:t>z zastrzeżeniem, że:</w:t>
      </w:r>
    </w:p>
    <w:p w14:paraId="09E57FDF" w14:textId="77777777" w:rsidR="008B22F3" w:rsidRPr="007856CB" w:rsidRDefault="008B22F3" w:rsidP="008B22F3">
      <w:pPr>
        <w:pStyle w:val="Akapitzlist"/>
        <w:numPr>
          <w:ilvl w:val="1"/>
          <w:numId w:val="51"/>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Okres Wykonania Warrantów Subskrypcyjnych nie może przypadać w okresie pomiędzy dniem podjęcia przez Zwyczajne Walne Zgromadzenie Spółki odpowiedniej uchwały w sprawie podziału zysku za poprzedni rok obrotowy, o</w:t>
      </w:r>
      <w:r>
        <w:rPr>
          <w:rFonts w:asciiTheme="majorHAnsi" w:hAnsiTheme="majorHAnsi" w:cstheme="majorHAnsi"/>
          <w:sz w:val="18"/>
          <w:szCs w:val="18"/>
        </w:rPr>
        <w:t> </w:t>
      </w:r>
      <w:r w:rsidRPr="007856CB">
        <w:rPr>
          <w:rFonts w:asciiTheme="majorHAnsi" w:hAnsiTheme="majorHAnsi" w:cstheme="majorHAnsi"/>
          <w:sz w:val="18"/>
          <w:szCs w:val="18"/>
        </w:rPr>
        <w:t>ile uchwała będzie przewidywać wypłatę dywidendy, a dniem dywidendy ustalonym w tej uchwale;</w:t>
      </w:r>
    </w:p>
    <w:p w14:paraId="4467454F" w14:textId="77777777" w:rsidR="008B22F3" w:rsidRPr="007856CB" w:rsidRDefault="008B22F3" w:rsidP="008B22F3">
      <w:pPr>
        <w:pStyle w:val="Akapitzlist"/>
        <w:numPr>
          <w:ilvl w:val="1"/>
          <w:numId w:val="51"/>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w przypadku nieokreślenia przez Zarząd Spółki Okresu Wykonania Warrantów Subskrypcyjnych zgodnie z niniejszym ust. 6 w terminie do dnia</w:t>
      </w:r>
      <w:r>
        <w:rPr>
          <w:rFonts w:asciiTheme="majorHAnsi" w:hAnsiTheme="majorHAnsi" w:cstheme="majorHAnsi"/>
          <w:sz w:val="18"/>
          <w:szCs w:val="18"/>
        </w:rPr>
        <w:t xml:space="preserve"> 30 listopada </w:t>
      </w:r>
      <w:r w:rsidRPr="007856CB">
        <w:rPr>
          <w:rFonts w:asciiTheme="majorHAnsi" w:hAnsiTheme="majorHAnsi" w:cstheme="majorHAnsi"/>
          <w:sz w:val="18"/>
          <w:szCs w:val="18"/>
        </w:rPr>
        <w:t>(włącznie)</w:t>
      </w:r>
      <w:r>
        <w:rPr>
          <w:rFonts w:asciiTheme="majorHAnsi" w:hAnsiTheme="majorHAnsi" w:cstheme="majorHAnsi"/>
          <w:sz w:val="18"/>
          <w:szCs w:val="18"/>
        </w:rPr>
        <w:t xml:space="preserve"> danego roku kalendarzowego (począwszy od Pierwszego Roku Wykonywania Warrantów Subskrypcyjnych)</w:t>
      </w:r>
      <w:r w:rsidRPr="007856CB">
        <w:rPr>
          <w:rFonts w:asciiTheme="majorHAnsi" w:hAnsiTheme="majorHAnsi" w:cstheme="majorHAnsi"/>
          <w:sz w:val="18"/>
          <w:szCs w:val="18"/>
        </w:rPr>
        <w:t xml:space="preserve">, prawa wynikające z Warrantów Subskrypcyjnych mogą być </w:t>
      </w:r>
      <w:r>
        <w:rPr>
          <w:rFonts w:asciiTheme="majorHAnsi" w:hAnsiTheme="majorHAnsi" w:cstheme="majorHAnsi"/>
          <w:sz w:val="18"/>
          <w:szCs w:val="18"/>
        </w:rPr>
        <w:t xml:space="preserve">w tym roku kalendarzowym </w:t>
      </w:r>
      <w:r w:rsidRPr="007856CB">
        <w:rPr>
          <w:rFonts w:asciiTheme="majorHAnsi" w:hAnsiTheme="majorHAnsi" w:cstheme="majorHAnsi"/>
          <w:sz w:val="18"/>
          <w:szCs w:val="18"/>
        </w:rPr>
        <w:t>wykon</w:t>
      </w:r>
      <w:r>
        <w:rPr>
          <w:rFonts w:asciiTheme="majorHAnsi" w:hAnsiTheme="majorHAnsi" w:cstheme="majorHAnsi"/>
          <w:sz w:val="18"/>
          <w:szCs w:val="18"/>
        </w:rPr>
        <w:t>ywane</w:t>
      </w:r>
      <w:r w:rsidRPr="007856CB">
        <w:rPr>
          <w:rFonts w:asciiTheme="majorHAnsi" w:hAnsiTheme="majorHAnsi" w:cstheme="majorHAnsi"/>
          <w:sz w:val="18"/>
          <w:szCs w:val="18"/>
        </w:rPr>
        <w:t xml:space="preserve"> przez ich posiadacza </w:t>
      </w:r>
      <w:r>
        <w:rPr>
          <w:rFonts w:asciiTheme="majorHAnsi" w:hAnsiTheme="majorHAnsi" w:cstheme="majorHAnsi"/>
          <w:sz w:val="18"/>
          <w:szCs w:val="18"/>
        </w:rPr>
        <w:t>w dniach od 01 do</w:t>
      </w:r>
      <w:r w:rsidRPr="007856CB">
        <w:rPr>
          <w:rFonts w:asciiTheme="majorHAnsi" w:hAnsiTheme="majorHAnsi" w:cstheme="majorHAnsi"/>
          <w:sz w:val="18"/>
          <w:szCs w:val="18"/>
        </w:rPr>
        <w:t xml:space="preserve"> </w:t>
      </w:r>
      <w:r>
        <w:rPr>
          <w:rFonts w:asciiTheme="majorHAnsi" w:hAnsiTheme="majorHAnsi" w:cstheme="majorHAnsi"/>
          <w:sz w:val="18"/>
          <w:szCs w:val="18"/>
        </w:rPr>
        <w:t>31 grudnia tego roku kalendarzowego</w:t>
      </w:r>
      <w:r w:rsidRPr="007856CB">
        <w:rPr>
          <w:rFonts w:asciiTheme="majorHAnsi" w:hAnsiTheme="majorHAnsi" w:cstheme="majorHAnsi"/>
          <w:sz w:val="18"/>
          <w:szCs w:val="18"/>
        </w:rPr>
        <w:t xml:space="preserve"> (włącznie);</w:t>
      </w:r>
    </w:p>
    <w:p w14:paraId="48DAC37C" w14:textId="77777777" w:rsidR="008B22F3" w:rsidRPr="007856CB" w:rsidRDefault="008B22F3" w:rsidP="008B22F3">
      <w:pPr>
        <w:pStyle w:val="Akapitzlist"/>
        <w:numPr>
          <w:ilvl w:val="1"/>
          <w:numId w:val="51"/>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prawa wynikające z Warrantów Subskrypcyjnych mogą być wykonane przez ich posiadacza najpóźniej w dniu 31 grudnia 20</w:t>
      </w:r>
      <w:r>
        <w:rPr>
          <w:rFonts w:asciiTheme="majorHAnsi" w:hAnsiTheme="majorHAnsi" w:cstheme="majorHAnsi"/>
          <w:sz w:val="18"/>
          <w:szCs w:val="18"/>
        </w:rPr>
        <w:t>31</w:t>
      </w:r>
      <w:r w:rsidRPr="007856CB">
        <w:rPr>
          <w:rFonts w:asciiTheme="majorHAnsi" w:hAnsiTheme="majorHAnsi" w:cstheme="majorHAnsi"/>
          <w:sz w:val="18"/>
          <w:szCs w:val="18"/>
        </w:rPr>
        <w:t xml:space="preserve"> r. (włącznie).</w:t>
      </w:r>
    </w:p>
    <w:p w14:paraId="0B8A5972"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Prawa z Warrantów Subskrypcyjnych, z których prawo objęcia Akcji Serii H nie zostanie zrealizowane do dnia 31 grudnia 20</w:t>
      </w:r>
      <w:r>
        <w:rPr>
          <w:rFonts w:asciiTheme="majorHAnsi" w:hAnsiTheme="majorHAnsi" w:cstheme="majorHAnsi"/>
          <w:sz w:val="18"/>
          <w:szCs w:val="18"/>
        </w:rPr>
        <w:t>31</w:t>
      </w:r>
      <w:r w:rsidRPr="007856CB">
        <w:rPr>
          <w:rFonts w:asciiTheme="majorHAnsi" w:hAnsiTheme="majorHAnsi" w:cstheme="majorHAnsi"/>
          <w:sz w:val="18"/>
          <w:szCs w:val="18"/>
        </w:rPr>
        <w:t xml:space="preserve"> r. (włącznie) wygasają z upływem tego dnia.</w:t>
      </w:r>
    </w:p>
    <w:p w14:paraId="55962562" w14:textId="77777777" w:rsidR="008B22F3" w:rsidRPr="007856CB" w:rsidRDefault="008B22F3" w:rsidP="008B22F3">
      <w:pPr>
        <w:pStyle w:val="Akapitzlist"/>
        <w:numPr>
          <w:ilvl w:val="0"/>
          <w:numId w:val="5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lastRenderedPageBreak/>
        <w:t>W przypadku przekształcenia lub likwidacji Spółki Warranty Subskrypcyjne (w tym inkorporowane w nich prawo do objęcia Akcji Serii H) wygasają.</w:t>
      </w:r>
    </w:p>
    <w:p w14:paraId="7C24F890"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b/>
          <w:sz w:val="18"/>
          <w:szCs w:val="18"/>
        </w:rPr>
      </w:pPr>
    </w:p>
    <w:p w14:paraId="3160B5F5" w14:textId="77777777" w:rsidR="008B22F3" w:rsidRPr="007856CB" w:rsidRDefault="008B22F3" w:rsidP="008B22F3">
      <w:pPr>
        <w:keepNext/>
        <w:spacing w:after="120" w:line="240" w:lineRule="auto"/>
        <w:jc w:val="center"/>
        <w:rPr>
          <w:rFonts w:asciiTheme="majorHAnsi" w:hAnsiTheme="majorHAnsi" w:cstheme="majorHAnsi"/>
          <w:b/>
          <w:sz w:val="18"/>
          <w:szCs w:val="18"/>
        </w:rPr>
      </w:pPr>
      <w:r w:rsidRPr="007856CB">
        <w:rPr>
          <w:rFonts w:asciiTheme="majorHAnsi" w:hAnsiTheme="majorHAnsi" w:cstheme="majorHAnsi"/>
          <w:b/>
          <w:sz w:val="18"/>
          <w:szCs w:val="18"/>
        </w:rPr>
        <w:t>Warunkowe podwyższenie kapitału zakładowego Spółki</w:t>
      </w:r>
    </w:p>
    <w:p w14:paraId="66314567" w14:textId="77777777" w:rsidR="008B22F3" w:rsidRPr="00F213E2"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 xml:space="preserve">W celu przyznania posiadaczom Warrantów Subskrypcyjnych prawa do objęcia Akcji Serii H, Zwyczajne Walne Zgromadzenie Spółki postanawia podwyższyć warunkowo kapitał zakładowy Spółki o kwotę nie wyższą niż </w:t>
      </w:r>
      <w:r w:rsidRPr="00D63916">
        <w:rPr>
          <w:rFonts w:asciiTheme="majorHAnsi" w:hAnsiTheme="majorHAnsi" w:cstheme="majorHAnsi"/>
          <w:sz w:val="18"/>
          <w:szCs w:val="18"/>
        </w:rPr>
        <w:t>24</w:t>
      </w:r>
      <w:r>
        <w:rPr>
          <w:rFonts w:asciiTheme="majorHAnsi" w:hAnsiTheme="majorHAnsi" w:cstheme="majorHAnsi"/>
          <w:sz w:val="18"/>
          <w:szCs w:val="18"/>
        </w:rPr>
        <w:t>.</w:t>
      </w:r>
      <w:r w:rsidRPr="00D63916">
        <w:rPr>
          <w:rFonts w:asciiTheme="majorHAnsi" w:hAnsiTheme="majorHAnsi" w:cstheme="majorHAnsi"/>
          <w:sz w:val="18"/>
          <w:szCs w:val="18"/>
        </w:rPr>
        <w:t>782,5</w:t>
      </w:r>
      <w:r>
        <w:rPr>
          <w:rFonts w:asciiTheme="majorHAnsi" w:hAnsiTheme="majorHAnsi" w:cstheme="majorHAnsi"/>
          <w:sz w:val="18"/>
          <w:szCs w:val="18"/>
        </w:rPr>
        <w:t xml:space="preserve">0 zł (dwadzieścia cztery tysiące siedemset osiemdziesiąt dwa złote i pięćdziesiąt groszy) </w:t>
      </w:r>
      <w:r w:rsidRPr="00F213E2">
        <w:rPr>
          <w:rFonts w:asciiTheme="majorHAnsi" w:hAnsiTheme="majorHAnsi" w:cstheme="majorHAnsi"/>
          <w:sz w:val="18"/>
          <w:szCs w:val="18"/>
        </w:rPr>
        <w:t>w drodze emisji nie więcej niż 247.825 (dwieście czterdzieści siedem tysięcy osiemset dwadzieścia pięć) akcji zwykłych na okaziciela serii H o wartości nominalnej 0,10 zł (dziesięć groszy) każda.</w:t>
      </w:r>
    </w:p>
    <w:p w14:paraId="0B40729D"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Akcje Serii H będą podlegać rejestracji w KDPW, a zatem prawa z Akcji Serii H powstaną z chwilą zapisania ich po raz pierwszy na rachunku papierów wartościowych (w rozumieniu art. 4 ust. 1 Ustawy o Obrocie).</w:t>
      </w:r>
    </w:p>
    <w:p w14:paraId="42799D9E"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Prawo objęcia Akcji Serii H przysługuje posiadaczom Warrantów Subskrypcyjnych.</w:t>
      </w:r>
      <w:r w:rsidRPr="007856CB">
        <w:rPr>
          <w:rFonts w:asciiTheme="majorHAnsi" w:eastAsia="Calibri" w:hAnsiTheme="majorHAnsi" w:cstheme="majorHAnsi"/>
          <w:sz w:val="18"/>
          <w:szCs w:val="18"/>
        </w:rPr>
        <w:t xml:space="preserve"> </w:t>
      </w:r>
      <w:r w:rsidRPr="007856CB">
        <w:rPr>
          <w:rFonts w:asciiTheme="majorHAnsi" w:hAnsiTheme="majorHAnsi" w:cstheme="majorHAnsi"/>
          <w:sz w:val="18"/>
          <w:szCs w:val="18"/>
        </w:rPr>
        <w:t>Termin wykonania prawa do objęcia Akcji Serii H został wskazany w § 1 ust. 6 powyżej.</w:t>
      </w:r>
    </w:p>
    <w:p w14:paraId="4EA09329"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Akcje Serii H zostaną w całości pokryte wkładami pieniężnymi, wniesionymi w dniu złożenia przez posiadacza Warrantów Subskrypcyjnych oświadczenia o objęciu Akcji Serii H w ramach wykonania praw z Warrantów Subskrypcyjnych.</w:t>
      </w:r>
    </w:p>
    <w:p w14:paraId="013A60CB"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 xml:space="preserve">Jednostkowa cena emisyjna Akcji Serii H będzie równa jednostkowej wartości nominalnej Akcji Serii H w chwili złożenia przez posiadacza Warrantu Subskrypcyjnego oświadczenia o objęciu Akcji Serii H w jego wykonaniu. </w:t>
      </w:r>
    </w:p>
    <w:p w14:paraId="379FF781"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Akcje Serii H uczestniczyć będą w dywidendzie na następujących zasadach:</w:t>
      </w:r>
    </w:p>
    <w:p w14:paraId="0EE6ECB4" w14:textId="77777777" w:rsidR="008B22F3" w:rsidRPr="007856CB" w:rsidRDefault="008B22F3" w:rsidP="008B22F3">
      <w:pPr>
        <w:pStyle w:val="Akapitzlist"/>
        <w:numPr>
          <w:ilvl w:val="1"/>
          <w:numId w:val="50"/>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Akcje Serii H, z których prawa powstały nie później niż w dniu dywidendy ustalonym w uchwale Zwyczajnego Walnego Zgromadzenia Spółki w sprawie podziału zysku za poprzedni rok obrotowy w formie dywidendy, uczestniczą w dywidendzie począwszy od zysku za rok obrotowy bezpośrednio poprzedzający rok, w którym powstały prawa z tych akcji, tj. uczestniczą w dywidendzie od dnia 1 stycznia roku obrotowego poprzedzającego rok ich powstania;</w:t>
      </w:r>
    </w:p>
    <w:p w14:paraId="4C13765A" w14:textId="77777777" w:rsidR="008B22F3" w:rsidRPr="007856CB" w:rsidRDefault="008B22F3" w:rsidP="008B22F3">
      <w:pPr>
        <w:pStyle w:val="Akapitzlist"/>
        <w:numPr>
          <w:ilvl w:val="1"/>
          <w:numId w:val="50"/>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Akcje Serii H, z których prawa powstały po dniu dywidendy ustalonym w uchwale Zwyczajnego Walnego Zgromadzenia Spółki w sprawie podziału zysku za poprzedni rok obrotowy w formie dywidendy, uczestniczą w dywidendzie począwszy od zysku za rok obrotowy, w którym powstały prawa z tych akcji, tj. począwszy od dnia 1 stycznia roku obrotowego ich powstania.</w:t>
      </w:r>
    </w:p>
    <w:p w14:paraId="21B0470B"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W przypadku, gdy w chwili emisji Akcji Serii H co najmniej 1 (jedna) akcja Spółki będzie dopuszczona do obrotu na rynku regulowanym prowadzonym przez Giełdę Papierów Wartościowych w Warszawie S.A. („</w:t>
      </w:r>
      <w:r w:rsidRPr="007856CB">
        <w:rPr>
          <w:rFonts w:asciiTheme="majorHAnsi" w:hAnsiTheme="majorHAnsi" w:cstheme="majorHAnsi"/>
          <w:b/>
          <w:bCs/>
          <w:sz w:val="18"/>
          <w:szCs w:val="18"/>
        </w:rPr>
        <w:t>GPW</w:t>
      </w:r>
      <w:r w:rsidRPr="007856CB">
        <w:rPr>
          <w:rFonts w:asciiTheme="majorHAnsi" w:hAnsiTheme="majorHAnsi" w:cstheme="majorHAnsi"/>
          <w:sz w:val="18"/>
          <w:szCs w:val="18"/>
        </w:rPr>
        <w:t>”), Akcje Serii H będą przedmiotem ubiegania się o ich dopuszczenie do obrotu na GPW po spełnieniu stosownych, wynikających z właściwych przepisów prawa i regulacji GPW, kryteriów i warunków umożliwiających dopuszczenie akcji Spółki do obrotu na GPW. Dopuszczenie i wprowadzenie Akcji Serii H do obrotu na GPW powinno co do zasady odbyć się bez sporządzania prospektu stosownie do art. 1 ust. 5 lit. b) rozporządzenia Parlamentu Europejskiego i Rady (UE) 2017/1129 z dnia 14 czerwca 2017 r. w sprawie prospektu, który ma być publikowany w związku z ofertą publiczną papierów wartościowych lub dopuszczeniem ich do obrotu na rynku regulowanym oraz uchylenia dyrektywy 2003/71/WE, o ile spełnienie tych warunków będzie możliwe zgodnie z przepisami prawa.</w:t>
      </w:r>
    </w:p>
    <w:p w14:paraId="02A23D80" w14:textId="77777777" w:rsidR="008B22F3" w:rsidRPr="007856CB" w:rsidRDefault="008B22F3" w:rsidP="008B22F3">
      <w:pPr>
        <w:pStyle w:val="Akapitzlist"/>
        <w:numPr>
          <w:ilvl w:val="0"/>
          <w:numId w:val="50"/>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Z</w:t>
      </w:r>
      <w:r w:rsidRPr="007856CB">
        <w:rPr>
          <w:rFonts w:asciiTheme="majorHAnsi" w:hAnsiTheme="majorHAnsi" w:cstheme="majorHAnsi"/>
          <w:iCs/>
          <w:sz w:val="18"/>
          <w:szCs w:val="18"/>
        </w:rPr>
        <w:t>wyczajne Walne Zgromadzenie Spółki upoważnia Zarząd Spółki do dokonywania wszelkich czynności faktycznych i</w:t>
      </w:r>
      <w:r>
        <w:rPr>
          <w:rFonts w:asciiTheme="majorHAnsi" w:hAnsiTheme="majorHAnsi" w:cstheme="majorHAnsi"/>
          <w:iCs/>
          <w:sz w:val="18"/>
          <w:szCs w:val="18"/>
        </w:rPr>
        <w:t> </w:t>
      </w:r>
      <w:r w:rsidRPr="007856CB">
        <w:rPr>
          <w:rFonts w:asciiTheme="majorHAnsi" w:hAnsiTheme="majorHAnsi" w:cstheme="majorHAnsi"/>
          <w:iCs/>
          <w:sz w:val="18"/>
          <w:szCs w:val="18"/>
        </w:rPr>
        <w:t>prawnych niezbędnych do przeprowadzenia</w:t>
      </w:r>
      <w:r w:rsidRPr="007856CB">
        <w:rPr>
          <w:rFonts w:asciiTheme="majorHAnsi" w:hAnsiTheme="majorHAnsi" w:cstheme="majorHAnsi"/>
          <w:sz w:val="18"/>
          <w:szCs w:val="18"/>
        </w:rPr>
        <w:t xml:space="preserve"> emisji Akcji Serii H</w:t>
      </w:r>
      <w:r w:rsidRPr="007856CB">
        <w:rPr>
          <w:rFonts w:asciiTheme="majorHAnsi" w:hAnsiTheme="majorHAnsi" w:cstheme="majorHAnsi"/>
          <w:iCs/>
          <w:sz w:val="18"/>
          <w:szCs w:val="18"/>
        </w:rPr>
        <w:t xml:space="preserve">, dematerializacji </w:t>
      </w:r>
      <w:r w:rsidRPr="007856CB">
        <w:rPr>
          <w:rFonts w:asciiTheme="majorHAnsi" w:hAnsiTheme="majorHAnsi" w:cstheme="majorHAnsi"/>
          <w:sz w:val="18"/>
          <w:szCs w:val="18"/>
        </w:rPr>
        <w:t>Akcji Serii H</w:t>
      </w:r>
      <w:r w:rsidRPr="007856CB">
        <w:rPr>
          <w:rFonts w:asciiTheme="majorHAnsi" w:hAnsiTheme="majorHAnsi" w:cstheme="majorHAnsi"/>
          <w:iCs/>
          <w:sz w:val="18"/>
          <w:szCs w:val="18"/>
        </w:rPr>
        <w:t xml:space="preserve"> oraz ich ewentualnego dopuszczenia do obrotu na GPW, a w szczególności do:</w:t>
      </w:r>
    </w:p>
    <w:p w14:paraId="251E1C70" w14:textId="77777777" w:rsidR="008B22F3" w:rsidRPr="007856CB" w:rsidRDefault="008B22F3" w:rsidP="008B22F3">
      <w:pPr>
        <w:pStyle w:val="Akapitzlist"/>
        <w:numPr>
          <w:ilvl w:val="1"/>
          <w:numId w:val="50"/>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ustalenia szczegółowych warunków emisji Akcji Serii H, które powinny obejmować co najmniej szczegółową treść oświadczenia o objęciu Akcji Serii H;</w:t>
      </w:r>
    </w:p>
    <w:p w14:paraId="0F35AC5D" w14:textId="77777777" w:rsidR="008B22F3" w:rsidRPr="007856CB" w:rsidRDefault="008B22F3" w:rsidP="008B22F3">
      <w:pPr>
        <w:pStyle w:val="Akapitzlist"/>
        <w:numPr>
          <w:ilvl w:val="1"/>
          <w:numId w:val="50"/>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sz w:val="18"/>
          <w:szCs w:val="18"/>
        </w:rPr>
        <w:t>zawarcia z Krajowym Depozytem Papierów Wartościowych S.A. umowy o rejestrację Akcji Serii H w KDPW;</w:t>
      </w:r>
    </w:p>
    <w:p w14:paraId="192234B1" w14:textId="77777777" w:rsidR="008B22F3" w:rsidRPr="007856CB" w:rsidRDefault="008B22F3" w:rsidP="008B22F3">
      <w:pPr>
        <w:pStyle w:val="Akapitzlist"/>
        <w:numPr>
          <w:ilvl w:val="1"/>
          <w:numId w:val="50"/>
        </w:numPr>
        <w:spacing w:after="120" w:line="240" w:lineRule="auto"/>
        <w:ind w:left="567" w:hanging="283"/>
        <w:contextualSpacing w:val="0"/>
        <w:jc w:val="both"/>
        <w:rPr>
          <w:rFonts w:asciiTheme="majorHAnsi" w:hAnsiTheme="majorHAnsi" w:cstheme="majorHAnsi"/>
          <w:sz w:val="18"/>
          <w:szCs w:val="18"/>
        </w:rPr>
      </w:pPr>
      <w:r w:rsidRPr="007856CB">
        <w:rPr>
          <w:rFonts w:asciiTheme="majorHAnsi" w:hAnsiTheme="majorHAnsi" w:cstheme="majorHAnsi"/>
          <w:iCs/>
          <w:sz w:val="18"/>
          <w:szCs w:val="18"/>
        </w:rPr>
        <w:t>wystąpienia z wnioskami wymaganymi przez regulacje GPW w celu dopuszczenia i wprowadzenia Akcji Serii H do obrotu na GPW.</w:t>
      </w:r>
    </w:p>
    <w:p w14:paraId="504C3A06"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sz w:val="18"/>
          <w:szCs w:val="18"/>
        </w:rPr>
      </w:pPr>
    </w:p>
    <w:p w14:paraId="175ADC36" w14:textId="77777777" w:rsidR="008B22F3" w:rsidRPr="007856CB" w:rsidRDefault="008B22F3" w:rsidP="008B22F3">
      <w:pPr>
        <w:keepNext/>
        <w:spacing w:after="120" w:line="240" w:lineRule="auto"/>
        <w:jc w:val="center"/>
        <w:rPr>
          <w:rFonts w:asciiTheme="majorHAnsi" w:hAnsiTheme="majorHAnsi" w:cstheme="majorHAnsi"/>
          <w:b/>
          <w:sz w:val="18"/>
          <w:szCs w:val="18"/>
        </w:rPr>
      </w:pPr>
      <w:r w:rsidRPr="007856CB">
        <w:rPr>
          <w:rFonts w:asciiTheme="majorHAnsi" w:hAnsiTheme="majorHAnsi" w:cstheme="majorHAnsi"/>
          <w:b/>
          <w:sz w:val="18"/>
          <w:szCs w:val="18"/>
        </w:rPr>
        <w:t>Pozbawienie prawa poboru</w:t>
      </w:r>
    </w:p>
    <w:p w14:paraId="13BEC9E7" w14:textId="77777777" w:rsidR="008B22F3" w:rsidRPr="007856CB" w:rsidRDefault="008B22F3" w:rsidP="008B22F3">
      <w:pPr>
        <w:pStyle w:val="Akapitzlist"/>
        <w:numPr>
          <w:ilvl w:val="0"/>
          <w:numId w:val="1"/>
        </w:numPr>
        <w:spacing w:after="120" w:line="240" w:lineRule="auto"/>
        <w:ind w:left="284" w:hanging="284"/>
        <w:contextualSpacing w:val="0"/>
        <w:jc w:val="both"/>
        <w:rPr>
          <w:rFonts w:asciiTheme="majorHAnsi" w:hAnsiTheme="majorHAnsi" w:cstheme="majorHAnsi"/>
          <w:sz w:val="18"/>
          <w:szCs w:val="18"/>
        </w:rPr>
      </w:pPr>
      <w:r w:rsidRPr="007856CB">
        <w:rPr>
          <w:rFonts w:asciiTheme="majorHAnsi" w:hAnsiTheme="majorHAnsi" w:cstheme="majorHAnsi"/>
          <w:sz w:val="18"/>
          <w:szCs w:val="18"/>
        </w:rPr>
        <w:t>Zwyczajne Walne Zgromadzenie Spółki, po zapoznaniu się z pisemną opinią Zarządu Spółki uzasadniającą powody pozbawienia akcjonariuszy prawa poboru Warrantów Subskrypcyjnych oraz Akcji Serii H oraz sposób ustalenia ceny emisyjnej Akcji Serii H, o następującej treści:</w:t>
      </w:r>
    </w:p>
    <w:p w14:paraId="195464EF" w14:textId="77777777" w:rsidR="008B22F3" w:rsidRPr="007856CB" w:rsidRDefault="008B22F3" w:rsidP="008B22F3">
      <w:pPr>
        <w:spacing w:after="120" w:line="240" w:lineRule="auto"/>
        <w:ind w:left="284"/>
        <w:jc w:val="both"/>
        <w:rPr>
          <w:rFonts w:asciiTheme="majorHAnsi" w:hAnsiTheme="majorHAnsi" w:cstheme="majorHAnsi"/>
          <w:i/>
          <w:sz w:val="18"/>
          <w:szCs w:val="18"/>
        </w:rPr>
      </w:pPr>
      <w:r w:rsidRPr="007856CB">
        <w:rPr>
          <w:rFonts w:asciiTheme="majorHAnsi" w:hAnsiTheme="majorHAnsi" w:cstheme="majorHAnsi"/>
          <w:sz w:val="18"/>
          <w:szCs w:val="18"/>
        </w:rPr>
        <w:t>„</w:t>
      </w:r>
      <w:r w:rsidRPr="007856CB">
        <w:rPr>
          <w:rFonts w:asciiTheme="majorHAnsi" w:hAnsiTheme="majorHAnsi" w:cstheme="majorHAnsi"/>
          <w:i/>
          <w:sz w:val="18"/>
          <w:szCs w:val="18"/>
        </w:rPr>
        <w:t xml:space="preserve">Podjęcie uchwały </w:t>
      </w:r>
      <w:r w:rsidRPr="007856CB">
        <w:rPr>
          <w:rFonts w:asciiTheme="majorHAnsi" w:hAnsiTheme="majorHAnsi" w:cstheme="majorHAnsi"/>
          <w:bCs/>
          <w:i/>
          <w:sz w:val="18"/>
          <w:szCs w:val="18"/>
        </w:rPr>
        <w:t xml:space="preserve">w sprawie emisji imiennych warrantów subskrypcyjnych serii A z wyłączeniem prawa poboru dotychczasowych akcjonariuszy, warunkowego podwyższenia kapitału zakładowego Spółki w drodze emisji akcji zwykłych na okaziciela serii H z wyłączeniem prawa poboru dotychczasowych akcjonariuszy, związanej z powyższym zmiany statutu Spółki oraz uchylenia uchwały nr 03/02/2021 Nadzwyczajnego Walnego Zgromadzenia Spółki z dnia 09 lutego 2021 r. </w:t>
      </w:r>
      <w:r w:rsidRPr="007856CB">
        <w:rPr>
          <w:rFonts w:asciiTheme="majorHAnsi" w:hAnsiTheme="majorHAnsi" w:cstheme="majorHAnsi"/>
          <w:bCs/>
          <w:i/>
          <w:sz w:val="18"/>
          <w:szCs w:val="18"/>
        </w:rPr>
        <w:lastRenderedPageBreak/>
        <w:t>i uchwały nr 04/02/2021 Nadzwyczajnego Walnego Zgromadzenia Spółki z dnia 09 lutego 2021 r.</w:t>
      </w:r>
      <w:r w:rsidRPr="007856CB">
        <w:rPr>
          <w:rFonts w:asciiTheme="majorHAnsi" w:hAnsiTheme="majorHAnsi" w:cstheme="majorHAnsi"/>
          <w:i/>
          <w:sz w:val="18"/>
          <w:szCs w:val="18"/>
        </w:rPr>
        <w:t xml:space="preserve"> („</w:t>
      </w:r>
      <w:r w:rsidRPr="007856CB">
        <w:rPr>
          <w:rFonts w:asciiTheme="majorHAnsi" w:hAnsiTheme="majorHAnsi" w:cstheme="majorHAnsi"/>
          <w:b/>
          <w:i/>
          <w:sz w:val="18"/>
          <w:szCs w:val="18"/>
        </w:rPr>
        <w:t>Uchwała</w:t>
      </w:r>
      <w:r w:rsidRPr="007856CB">
        <w:rPr>
          <w:rFonts w:asciiTheme="majorHAnsi" w:hAnsiTheme="majorHAnsi" w:cstheme="majorHAnsi"/>
          <w:i/>
          <w:sz w:val="18"/>
          <w:szCs w:val="18"/>
        </w:rPr>
        <w:t xml:space="preserve">”) ma na celu umożliwienie Spółce realizacji Programu Motywacyjnego na zasadach określonych w odrębnej uchwale Walnego Zgromadzenia Spółki. Pozbawienie dotychczasowych akcjonariuszy prawa poboru w odniesieniu do imiennych warrantów subskrypcyjnych serii A oraz akcji zwykłych na okaziciela serii H wynika z samej natury emisji tych papierów wartościowych realizowanej w związku z ustanowieniem Programu Motywacyjnego. </w:t>
      </w:r>
    </w:p>
    <w:p w14:paraId="55B0D946" w14:textId="77777777" w:rsidR="008B22F3" w:rsidRPr="007856CB" w:rsidRDefault="008B22F3" w:rsidP="008B22F3">
      <w:pPr>
        <w:spacing w:after="120" w:line="240" w:lineRule="auto"/>
        <w:ind w:left="284"/>
        <w:jc w:val="both"/>
        <w:rPr>
          <w:rFonts w:asciiTheme="majorHAnsi" w:hAnsiTheme="majorHAnsi" w:cstheme="majorHAnsi"/>
          <w:i/>
          <w:sz w:val="18"/>
          <w:szCs w:val="18"/>
        </w:rPr>
      </w:pPr>
      <w:r w:rsidRPr="007856CB">
        <w:rPr>
          <w:rFonts w:asciiTheme="majorHAnsi" w:hAnsiTheme="majorHAnsi" w:cstheme="majorHAnsi"/>
          <w:i/>
          <w:sz w:val="18"/>
          <w:szCs w:val="18"/>
        </w:rPr>
        <w:t>Zgodnie z proponowaną przez Zarząd Spółki treścią uchwały Walnego Zgromadzenia Spółki w sprawie ustanowienia w Spółce Programu Motywacyjnego, uczestnikom tego Programu Motywacyjnego mogą zostać nieodpłatnie zaoferowane imienne warranty subskrypcyjne serii A, uprawniające do objęcia nowo emitowanych przez Spółkę akcji zwykłych na okaziciela serii H, po cenie emisyjnej odpowiadającej ich wartości nominalnej z chwili objęcia akcji. Warunkowe podwyższenie kapitału zakładowego następuje natomiast w celu przyznania prawa do objęcia akcji serii H uczestnikom Programu Motywacyjnego posiadającym ww. warranty subskrypcyjne serii A. W związku z powyższym, niepodjęcie przez Walne Zgromadzenie Spółki uchwały w przedmiocie (i) emisji warrantów subskrypcyjnych serii A, (ii) warunkowego podwyższenia kapitału zakładowego celem zaoferowania akcji posiadaczom takich warrantów subskrypcyjnych oraz (iii) pozbawienia dotychczasowych akcjonariuszy prawa poboru tych warrantów subskrypcyjnych oraz akcji serii H uniemożliwiłoby Spółce prawidłową realizację założeń tego Programu Motywacyjnego.</w:t>
      </w:r>
    </w:p>
    <w:p w14:paraId="7C8C31F6" w14:textId="77777777" w:rsidR="008B22F3" w:rsidRPr="007856CB" w:rsidRDefault="008B22F3" w:rsidP="008B22F3">
      <w:pPr>
        <w:spacing w:after="120" w:line="240" w:lineRule="auto"/>
        <w:ind w:left="284"/>
        <w:jc w:val="both"/>
        <w:rPr>
          <w:rFonts w:asciiTheme="majorHAnsi" w:hAnsiTheme="majorHAnsi" w:cstheme="majorHAnsi"/>
          <w:i/>
          <w:sz w:val="18"/>
          <w:szCs w:val="18"/>
        </w:rPr>
      </w:pPr>
      <w:r w:rsidRPr="007856CB">
        <w:rPr>
          <w:rFonts w:asciiTheme="majorHAnsi" w:hAnsiTheme="majorHAnsi" w:cstheme="majorHAnsi"/>
          <w:i/>
          <w:sz w:val="18"/>
          <w:szCs w:val="18"/>
        </w:rPr>
        <w:t>Celem Programu Motywacyjnego jest zapewnienie długookresowej współpracy ze Spółką kluczowych osób oraz realizacji celów Spółki, a tym samym stworzenie mechanizmów umożliwiających długofalowo wzrost wartości Spółki. Ze względu na kluczowe znaczenie uczestników Programu Motywacyjnego dla realizacji dotychczasowych oraz dalszych celów strategicznych Spółki, charakter Programu Motywacyjnego i potrzebę związania uczestników Programu Motywacyjnego ze Spółką, zasadne jest przyznanie uczestnikom Programu Motywacyjnego warrantów subskrypcyjnych nieodpłatnie.</w:t>
      </w:r>
    </w:p>
    <w:p w14:paraId="29659AE9" w14:textId="77777777" w:rsidR="008B22F3" w:rsidRPr="007856CB" w:rsidRDefault="008B22F3" w:rsidP="008B22F3">
      <w:pPr>
        <w:pStyle w:val="Akapitzlist"/>
        <w:spacing w:after="120" w:line="240" w:lineRule="auto"/>
        <w:ind w:left="284"/>
        <w:contextualSpacing w:val="0"/>
        <w:jc w:val="both"/>
        <w:rPr>
          <w:rFonts w:asciiTheme="majorHAnsi" w:hAnsiTheme="majorHAnsi" w:cstheme="majorHAnsi"/>
          <w:i/>
          <w:sz w:val="18"/>
          <w:szCs w:val="18"/>
        </w:rPr>
      </w:pPr>
      <w:r w:rsidRPr="007856CB">
        <w:rPr>
          <w:rFonts w:asciiTheme="majorHAnsi" w:hAnsiTheme="majorHAnsi" w:cstheme="majorHAnsi"/>
          <w:i/>
          <w:sz w:val="18"/>
          <w:szCs w:val="18"/>
        </w:rPr>
        <w:t>Proponowana jednostkowa cena emisyjna akcji serii H będzie równa jej wartości nominalnej w chwili złożenia przez posiadacza warrantu subskrypcyjnego serii A oświadczenia o objęciu akcji serii H w jego wykonaniu, co jest uzasadnione naturą Programu Motywacyjnego.</w:t>
      </w:r>
    </w:p>
    <w:p w14:paraId="39F4AFE4" w14:textId="77777777" w:rsidR="008B22F3" w:rsidRPr="007856CB" w:rsidRDefault="008B22F3" w:rsidP="008B22F3">
      <w:pPr>
        <w:spacing w:after="120" w:line="240" w:lineRule="auto"/>
        <w:ind w:left="284"/>
        <w:jc w:val="both"/>
        <w:rPr>
          <w:rFonts w:asciiTheme="majorHAnsi" w:hAnsiTheme="majorHAnsi" w:cstheme="majorHAnsi"/>
          <w:sz w:val="18"/>
          <w:szCs w:val="18"/>
        </w:rPr>
      </w:pPr>
      <w:r w:rsidRPr="007856CB">
        <w:rPr>
          <w:rFonts w:asciiTheme="majorHAnsi" w:hAnsiTheme="majorHAnsi" w:cstheme="majorHAnsi"/>
          <w:i/>
          <w:sz w:val="18"/>
          <w:szCs w:val="18"/>
        </w:rPr>
        <w:t>Z uwagi na powyższe, w ocenie Zarządu podjęcie Uchwały leży w interesie Spółki oraz jej akcjonariuszy, a zatem Zarząd Spółki rekomenduje jej podjęcie przez Walne Zgromadzenie Spółki.</w:t>
      </w:r>
      <w:r w:rsidRPr="007856CB">
        <w:rPr>
          <w:rFonts w:asciiTheme="majorHAnsi" w:hAnsiTheme="majorHAnsi" w:cstheme="majorHAnsi"/>
          <w:sz w:val="18"/>
          <w:szCs w:val="18"/>
        </w:rPr>
        <w:t>”</w:t>
      </w:r>
    </w:p>
    <w:p w14:paraId="7B0C9019" w14:textId="77777777" w:rsidR="008B22F3" w:rsidRPr="007856CB" w:rsidRDefault="008B22F3" w:rsidP="008B22F3">
      <w:pPr>
        <w:spacing w:after="120" w:line="240" w:lineRule="auto"/>
        <w:ind w:left="284"/>
        <w:jc w:val="both"/>
        <w:rPr>
          <w:rFonts w:asciiTheme="majorHAnsi" w:hAnsiTheme="majorHAnsi" w:cstheme="majorHAnsi"/>
          <w:sz w:val="18"/>
          <w:szCs w:val="18"/>
        </w:rPr>
      </w:pPr>
      <w:r w:rsidRPr="007856CB">
        <w:rPr>
          <w:rFonts w:asciiTheme="majorHAnsi" w:hAnsiTheme="majorHAnsi" w:cstheme="majorHAnsi"/>
          <w:sz w:val="18"/>
          <w:szCs w:val="18"/>
        </w:rPr>
        <w:t>uznając, że leży to w interesie Spółki oraz jej akcjonariuszy, postanawia pozbawić dotychczasowych akcjonariuszy prawa poboru Warrantów Subskrypcyjnych i Akcji Serii H w całości.</w:t>
      </w:r>
    </w:p>
    <w:p w14:paraId="2C00F9DB" w14:textId="77777777" w:rsidR="008B22F3" w:rsidRPr="007856CB" w:rsidRDefault="008B22F3" w:rsidP="008B22F3">
      <w:pPr>
        <w:pStyle w:val="Akapitzlist"/>
        <w:numPr>
          <w:ilvl w:val="0"/>
          <w:numId w:val="1"/>
        </w:numPr>
        <w:spacing w:after="120" w:line="240" w:lineRule="auto"/>
        <w:ind w:left="284" w:hanging="284"/>
        <w:contextualSpacing w:val="0"/>
        <w:jc w:val="both"/>
        <w:rPr>
          <w:rFonts w:asciiTheme="majorHAnsi" w:hAnsiTheme="majorHAnsi" w:cstheme="majorHAnsi"/>
          <w:b/>
          <w:sz w:val="18"/>
          <w:szCs w:val="18"/>
        </w:rPr>
      </w:pPr>
      <w:r w:rsidRPr="007856CB">
        <w:rPr>
          <w:rFonts w:asciiTheme="majorHAnsi" w:hAnsiTheme="majorHAnsi" w:cstheme="majorHAnsi"/>
          <w:sz w:val="18"/>
          <w:szCs w:val="18"/>
        </w:rPr>
        <w:t>Treść opinii Zarządu Spółki, przywołana w ust. 1 powyżej, stanowi jednocześnie umotywowanie niniejszej uchwały w</w:t>
      </w:r>
      <w:r>
        <w:rPr>
          <w:rFonts w:asciiTheme="majorHAnsi" w:hAnsiTheme="majorHAnsi" w:cstheme="majorHAnsi"/>
          <w:sz w:val="18"/>
          <w:szCs w:val="18"/>
        </w:rPr>
        <w:t> </w:t>
      </w:r>
      <w:r w:rsidRPr="007856CB">
        <w:rPr>
          <w:rFonts w:asciiTheme="majorHAnsi" w:hAnsiTheme="majorHAnsi" w:cstheme="majorHAnsi"/>
          <w:sz w:val="18"/>
          <w:szCs w:val="18"/>
        </w:rPr>
        <w:t>zakresie emisji Warrantów Subskrypcyjnych oraz warunkowego podwyższenia kapitału zakładowego w drodze emisji Akcji Serii H.</w:t>
      </w:r>
    </w:p>
    <w:p w14:paraId="3C7E1A41"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sz w:val="18"/>
          <w:szCs w:val="18"/>
        </w:rPr>
      </w:pPr>
    </w:p>
    <w:p w14:paraId="4CC20555" w14:textId="77777777" w:rsidR="008B22F3" w:rsidRPr="007856CB" w:rsidRDefault="008B22F3" w:rsidP="008B22F3">
      <w:pPr>
        <w:keepNext/>
        <w:spacing w:after="120" w:line="240" w:lineRule="auto"/>
        <w:jc w:val="center"/>
        <w:rPr>
          <w:rFonts w:asciiTheme="majorHAnsi" w:hAnsiTheme="majorHAnsi" w:cstheme="majorHAnsi"/>
          <w:b/>
          <w:sz w:val="18"/>
          <w:szCs w:val="18"/>
        </w:rPr>
      </w:pPr>
      <w:r w:rsidRPr="007856CB">
        <w:rPr>
          <w:rFonts w:asciiTheme="majorHAnsi" w:hAnsiTheme="majorHAnsi" w:cstheme="majorHAnsi"/>
          <w:b/>
          <w:sz w:val="18"/>
          <w:szCs w:val="18"/>
        </w:rPr>
        <w:t>Zmiana statutu Spółki</w:t>
      </w:r>
    </w:p>
    <w:p w14:paraId="4A535FED" w14:textId="77777777" w:rsidR="008B22F3" w:rsidRPr="007856CB" w:rsidRDefault="008B22F3" w:rsidP="008B22F3">
      <w:pPr>
        <w:spacing w:after="120" w:line="240" w:lineRule="auto"/>
        <w:jc w:val="both"/>
        <w:rPr>
          <w:rFonts w:asciiTheme="majorHAnsi" w:hAnsiTheme="majorHAnsi" w:cstheme="majorHAnsi"/>
          <w:i/>
          <w:sz w:val="18"/>
          <w:szCs w:val="18"/>
        </w:rPr>
      </w:pPr>
      <w:r w:rsidRPr="007856CB">
        <w:rPr>
          <w:rFonts w:asciiTheme="majorHAnsi" w:hAnsiTheme="majorHAnsi" w:cstheme="majorHAnsi"/>
          <w:sz w:val="18"/>
          <w:szCs w:val="18"/>
        </w:rPr>
        <w:t>Zwyczajne Walne Zgromadzenie Spółki w związku z warunkowym podwyższeniem kapitału zakładowego Spółki dokonywanym na mocy niniejszej uchwały postanawia zmienić statut Spółki w ten sposób, że § 7A statutu Spółki otrzymuje nowe, następujące brzmienie:</w:t>
      </w:r>
    </w:p>
    <w:p w14:paraId="7B93DCF6" w14:textId="77777777" w:rsidR="008B22F3" w:rsidRPr="007856CB" w:rsidRDefault="008B22F3" w:rsidP="008B22F3">
      <w:pPr>
        <w:pStyle w:val="Akapitzlist"/>
        <w:spacing w:after="120" w:line="240" w:lineRule="auto"/>
        <w:ind w:left="284"/>
        <w:contextualSpacing w:val="0"/>
        <w:jc w:val="center"/>
        <w:rPr>
          <w:rFonts w:asciiTheme="majorHAnsi" w:hAnsiTheme="majorHAnsi" w:cstheme="majorHAnsi"/>
          <w:sz w:val="18"/>
          <w:szCs w:val="18"/>
        </w:rPr>
      </w:pPr>
      <w:r w:rsidRPr="007856CB">
        <w:rPr>
          <w:rFonts w:asciiTheme="majorHAnsi" w:hAnsiTheme="majorHAnsi" w:cstheme="majorHAnsi"/>
          <w:sz w:val="18"/>
          <w:szCs w:val="18"/>
        </w:rPr>
        <w:t>„</w:t>
      </w:r>
      <w:r w:rsidRPr="007856CB">
        <w:rPr>
          <w:rFonts w:asciiTheme="majorHAnsi" w:hAnsiTheme="majorHAnsi" w:cstheme="majorHAnsi"/>
          <w:b/>
          <w:bCs/>
          <w:i/>
          <w:iCs/>
          <w:sz w:val="18"/>
          <w:szCs w:val="18"/>
        </w:rPr>
        <w:t>§ 7A Kapitał warunkowy</w:t>
      </w:r>
    </w:p>
    <w:p w14:paraId="7290CFB6" w14:textId="77777777" w:rsidR="008B22F3" w:rsidRPr="007856CB" w:rsidRDefault="008B22F3" w:rsidP="008B22F3">
      <w:pPr>
        <w:pStyle w:val="Akapitzlist"/>
        <w:numPr>
          <w:ilvl w:val="0"/>
          <w:numId w:val="48"/>
        </w:numPr>
        <w:spacing w:after="120" w:line="240" w:lineRule="auto"/>
        <w:ind w:left="567" w:hanging="283"/>
        <w:contextualSpacing w:val="0"/>
        <w:jc w:val="both"/>
        <w:rPr>
          <w:rFonts w:asciiTheme="majorHAnsi" w:hAnsiTheme="majorHAnsi" w:cstheme="majorHAnsi"/>
          <w:i/>
          <w:sz w:val="18"/>
          <w:szCs w:val="18"/>
        </w:rPr>
      </w:pPr>
      <w:r w:rsidRPr="007856CB">
        <w:rPr>
          <w:rFonts w:asciiTheme="majorHAnsi" w:hAnsiTheme="majorHAnsi" w:cstheme="majorHAnsi"/>
          <w:i/>
          <w:sz w:val="18"/>
          <w:szCs w:val="18"/>
        </w:rPr>
        <w:t xml:space="preserve">Warunkowy kapitał zakładowy Spółki wynosi nie więcej niż </w:t>
      </w:r>
      <w:r w:rsidRPr="00D63916">
        <w:rPr>
          <w:rFonts w:asciiTheme="majorHAnsi" w:hAnsiTheme="majorHAnsi" w:cstheme="majorHAnsi"/>
          <w:i/>
          <w:sz w:val="18"/>
          <w:szCs w:val="18"/>
        </w:rPr>
        <w:t>24.782,50 zł (dwadzieścia cztery tysiące siedemset osiemdziesiąt dwa złote i pięćdziesiąt groszy)</w:t>
      </w:r>
      <w:r w:rsidRPr="007856CB">
        <w:rPr>
          <w:rFonts w:asciiTheme="majorHAnsi" w:hAnsiTheme="majorHAnsi" w:cstheme="majorHAnsi"/>
          <w:i/>
          <w:sz w:val="18"/>
          <w:szCs w:val="18"/>
        </w:rPr>
        <w:t xml:space="preserve"> i dzieli się na nie więcej niż </w:t>
      </w:r>
      <w:r w:rsidRPr="00D63916">
        <w:rPr>
          <w:rFonts w:asciiTheme="majorHAnsi" w:hAnsiTheme="majorHAnsi" w:cstheme="majorHAnsi"/>
          <w:i/>
          <w:sz w:val="18"/>
          <w:szCs w:val="18"/>
        </w:rPr>
        <w:t>247.825 (dwieście czterdzieści siedem tysięcy osiemset dwadzieścia pięć)</w:t>
      </w:r>
      <w:r w:rsidRPr="007856CB">
        <w:rPr>
          <w:rFonts w:asciiTheme="majorHAnsi" w:hAnsiTheme="majorHAnsi" w:cstheme="majorHAnsi"/>
          <w:i/>
          <w:sz w:val="18"/>
          <w:szCs w:val="18"/>
        </w:rPr>
        <w:t xml:space="preserve"> akcji zwykłych na okaziciela serii H o wartości nominalnej 0,10 zł (dziesięć groszy) każda. </w:t>
      </w:r>
    </w:p>
    <w:p w14:paraId="387D6D2F" w14:textId="77777777" w:rsidR="008B22F3" w:rsidRPr="006C50D9" w:rsidRDefault="008B22F3" w:rsidP="008B22F3">
      <w:pPr>
        <w:pStyle w:val="Akapitzlist"/>
        <w:numPr>
          <w:ilvl w:val="0"/>
          <w:numId w:val="48"/>
        </w:numPr>
        <w:spacing w:after="120" w:line="240" w:lineRule="auto"/>
        <w:ind w:left="567" w:hanging="283"/>
        <w:contextualSpacing w:val="0"/>
        <w:jc w:val="both"/>
        <w:rPr>
          <w:rFonts w:asciiTheme="majorHAnsi" w:hAnsiTheme="majorHAnsi" w:cstheme="majorHAnsi"/>
          <w:i/>
          <w:sz w:val="18"/>
          <w:szCs w:val="18"/>
        </w:rPr>
      </w:pPr>
      <w:r w:rsidRPr="007856CB">
        <w:rPr>
          <w:rFonts w:asciiTheme="majorHAnsi" w:hAnsiTheme="majorHAnsi" w:cstheme="majorHAnsi"/>
          <w:i/>
          <w:sz w:val="18"/>
          <w:szCs w:val="18"/>
        </w:rPr>
        <w:t xml:space="preserve">Celem warunkowego </w:t>
      </w:r>
      <w:r w:rsidRPr="006C50D9">
        <w:rPr>
          <w:rFonts w:asciiTheme="majorHAnsi" w:hAnsiTheme="majorHAnsi" w:cstheme="majorHAnsi"/>
          <w:i/>
          <w:sz w:val="18"/>
          <w:szCs w:val="18"/>
        </w:rPr>
        <w:t xml:space="preserve">podwyższenia kapitału zakładowego Spółki jest przyznanie prawa do objęcia akcji serii H posiadaczom imiennych warrantów subskrypcyjnych serii A emitowanych przez Spółkę na podstawie uchwały nr </w:t>
      </w:r>
      <w:r>
        <w:rPr>
          <w:rFonts w:asciiTheme="majorHAnsi" w:hAnsiTheme="majorHAnsi" w:cstheme="majorHAnsi"/>
          <w:i/>
          <w:sz w:val="18"/>
          <w:szCs w:val="18"/>
        </w:rPr>
        <w:t>22</w:t>
      </w:r>
      <w:r w:rsidRPr="006C50D9">
        <w:rPr>
          <w:rFonts w:asciiTheme="majorHAnsi" w:hAnsiTheme="majorHAnsi" w:cstheme="majorHAnsi"/>
          <w:i/>
          <w:sz w:val="18"/>
          <w:szCs w:val="18"/>
        </w:rPr>
        <w:t xml:space="preserve">/06/2026 Zwyczajnego Walnego Zgromadzenia Spółki z dnia </w:t>
      </w:r>
      <w:r>
        <w:rPr>
          <w:rFonts w:asciiTheme="majorHAnsi" w:hAnsiTheme="majorHAnsi" w:cstheme="majorHAnsi"/>
          <w:i/>
          <w:sz w:val="18"/>
          <w:szCs w:val="18"/>
        </w:rPr>
        <w:t>16 lipca</w:t>
      </w:r>
      <w:r w:rsidRPr="006C50D9">
        <w:rPr>
          <w:rFonts w:asciiTheme="majorHAnsi" w:hAnsiTheme="majorHAnsi" w:cstheme="majorHAnsi"/>
          <w:i/>
          <w:sz w:val="18"/>
          <w:szCs w:val="18"/>
        </w:rPr>
        <w:t xml:space="preserve"> 2026 r. („</w:t>
      </w:r>
      <w:r w:rsidRPr="006C50D9">
        <w:rPr>
          <w:rFonts w:asciiTheme="majorHAnsi" w:hAnsiTheme="majorHAnsi" w:cstheme="majorHAnsi"/>
          <w:b/>
          <w:i/>
          <w:sz w:val="18"/>
          <w:szCs w:val="18"/>
        </w:rPr>
        <w:t>Warranty Subskrypcyjne</w:t>
      </w:r>
      <w:r w:rsidRPr="006C50D9">
        <w:rPr>
          <w:rFonts w:asciiTheme="majorHAnsi" w:hAnsiTheme="majorHAnsi" w:cstheme="majorHAnsi"/>
          <w:i/>
          <w:sz w:val="18"/>
          <w:szCs w:val="18"/>
        </w:rPr>
        <w:t xml:space="preserve">”). </w:t>
      </w:r>
    </w:p>
    <w:p w14:paraId="3ED2657D" w14:textId="77777777" w:rsidR="008B22F3" w:rsidRPr="006C50D9" w:rsidRDefault="008B22F3" w:rsidP="008B22F3">
      <w:pPr>
        <w:pStyle w:val="Akapitzlist"/>
        <w:numPr>
          <w:ilvl w:val="0"/>
          <w:numId w:val="48"/>
        </w:numPr>
        <w:spacing w:after="120" w:line="240" w:lineRule="auto"/>
        <w:ind w:left="567" w:hanging="283"/>
        <w:contextualSpacing w:val="0"/>
        <w:jc w:val="both"/>
        <w:rPr>
          <w:rFonts w:asciiTheme="majorHAnsi" w:hAnsiTheme="majorHAnsi" w:cstheme="majorHAnsi"/>
          <w:i/>
          <w:sz w:val="18"/>
          <w:szCs w:val="18"/>
        </w:rPr>
      </w:pPr>
      <w:r w:rsidRPr="006C50D9">
        <w:rPr>
          <w:rFonts w:asciiTheme="majorHAnsi" w:hAnsiTheme="majorHAnsi" w:cstheme="majorHAnsi"/>
          <w:i/>
          <w:sz w:val="18"/>
          <w:szCs w:val="18"/>
        </w:rPr>
        <w:t>Uprawnionymi do objęcia akcji serii H będą posiadacze Warrantów Subskrypcyjnych.</w:t>
      </w:r>
    </w:p>
    <w:p w14:paraId="288C35D7" w14:textId="77777777" w:rsidR="008B22F3" w:rsidRPr="007856CB" w:rsidRDefault="008B22F3" w:rsidP="008B22F3">
      <w:pPr>
        <w:pStyle w:val="Akapitzlist"/>
        <w:numPr>
          <w:ilvl w:val="0"/>
          <w:numId w:val="48"/>
        </w:numPr>
        <w:spacing w:after="120" w:line="240" w:lineRule="auto"/>
        <w:ind w:left="567" w:hanging="283"/>
        <w:contextualSpacing w:val="0"/>
        <w:jc w:val="both"/>
        <w:rPr>
          <w:rFonts w:asciiTheme="majorHAnsi" w:hAnsiTheme="majorHAnsi" w:cstheme="majorHAnsi"/>
          <w:i/>
          <w:sz w:val="18"/>
          <w:szCs w:val="18"/>
        </w:rPr>
      </w:pPr>
      <w:r w:rsidRPr="006C50D9">
        <w:rPr>
          <w:rFonts w:asciiTheme="majorHAnsi" w:hAnsiTheme="majorHAnsi" w:cstheme="majorHAnsi"/>
          <w:i/>
          <w:sz w:val="18"/>
          <w:szCs w:val="18"/>
        </w:rPr>
        <w:t>Prawo objęcia akcji serii H może być wykonane</w:t>
      </w:r>
      <w:r w:rsidRPr="007856CB">
        <w:rPr>
          <w:rFonts w:asciiTheme="majorHAnsi" w:hAnsiTheme="majorHAnsi" w:cstheme="majorHAnsi"/>
          <w:i/>
          <w:sz w:val="18"/>
          <w:szCs w:val="18"/>
        </w:rPr>
        <w:t xml:space="preserve"> do dnia 31 grudnia 20</w:t>
      </w:r>
      <w:r>
        <w:rPr>
          <w:rFonts w:asciiTheme="majorHAnsi" w:hAnsiTheme="majorHAnsi" w:cstheme="majorHAnsi"/>
          <w:i/>
          <w:sz w:val="18"/>
          <w:szCs w:val="18"/>
        </w:rPr>
        <w:t>31</w:t>
      </w:r>
      <w:r w:rsidRPr="007856CB">
        <w:rPr>
          <w:rFonts w:asciiTheme="majorHAnsi" w:hAnsiTheme="majorHAnsi" w:cstheme="majorHAnsi"/>
          <w:i/>
          <w:sz w:val="18"/>
          <w:szCs w:val="18"/>
        </w:rPr>
        <w:t xml:space="preserve"> r. (włącznie).</w:t>
      </w:r>
      <w:r w:rsidRPr="007856CB">
        <w:rPr>
          <w:rFonts w:asciiTheme="majorHAnsi" w:hAnsiTheme="majorHAnsi" w:cstheme="majorHAnsi"/>
          <w:sz w:val="18"/>
          <w:szCs w:val="18"/>
        </w:rPr>
        <w:t>”.</w:t>
      </w:r>
    </w:p>
    <w:p w14:paraId="25FA533F"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sz w:val="18"/>
          <w:szCs w:val="18"/>
        </w:rPr>
      </w:pPr>
    </w:p>
    <w:p w14:paraId="0F585F12" w14:textId="77777777" w:rsidR="008B22F3" w:rsidRPr="007856CB" w:rsidRDefault="008B22F3" w:rsidP="008B22F3">
      <w:pPr>
        <w:spacing w:after="120" w:line="240" w:lineRule="auto"/>
        <w:jc w:val="center"/>
        <w:rPr>
          <w:rFonts w:asciiTheme="majorHAnsi" w:hAnsiTheme="majorHAnsi" w:cstheme="majorHAnsi"/>
          <w:b/>
          <w:bCs/>
          <w:sz w:val="18"/>
          <w:szCs w:val="18"/>
        </w:rPr>
      </w:pPr>
      <w:r w:rsidRPr="007856CB">
        <w:rPr>
          <w:rFonts w:asciiTheme="majorHAnsi" w:hAnsiTheme="majorHAnsi" w:cstheme="majorHAnsi"/>
          <w:b/>
          <w:bCs/>
          <w:sz w:val="18"/>
          <w:szCs w:val="18"/>
        </w:rPr>
        <w:t>Uchylenie uchwał Nadzwyczajnego Walnego Zgromadzenia Spółki z dnia 09 lutego 2021 r.</w:t>
      </w:r>
    </w:p>
    <w:p w14:paraId="4C43FE72" w14:textId="77777777" w:rsidR="008B22F3" w:rsidRDefault="008B22F3" w:rsidP="008B22F3">
      <w:pPr>
        <w:pStyle w:val="Akapitzlist"/>
        <w:spacing w:after="120" w:line="240" w:lineRule="auto"/>
        <w:ind w:left="0"/>
        <w:contextualSpacing w:val="0"/>
        <w:jc w:val="both"/>
        <w:rPr>
          <w:rFonts w:asciiTheme="majorHAnsi" w:hAnsiTheme="majorHAnsi" w:cstheme="majorHAnsi"/>
          <w:sz w:val="18"/>
          <w:szCs w:val="18"/>
        </w:rPr>
      </w:pPr>
      <w:r w:rsidRPr="007856CB">
        <w:rPr>
          <w:rFonts w:asciiTheme="majorHAnsi" w:hAnsiTheme="majorHAnsi" w:cstheme="majorHAnsi"/>
          <w:sz w:val="18"/>
          <w:szCs w:val="18"/>
        </w:rPr>
        <w:t>W związku z emisją Warrantów Subskrypcyjnych i warunkowym podwyższeniem kapitału zakładowego Spółki w drodze emisji akcji zwykłych na okaziciela serii H dokonywanym na podstawie niniejszej uchwały, Zwyczajne Walne Zgromadzenie Spółki niniejszym postanawia uchylić w całości uchwałę nr 03/02/2021 Nadzwyczajnego Walnego Zgromadzenia Spółki z dnia 09 lutego 2021 r. i uchwałę nr 04/02/2021 Nadzwyczajnego Walnego Zgromadzenia Spółki z dnia 09 lutego 2021 r.</w:t>
      </w:r>
    </w:p>
    <w:p w14:paraId="67852B23" w14:textId="77777777" w:rsidR="008B22F3" w:rsidRPr="007856CB" w:rsidRDefault="008B22F3" w:rsidP="008B22F3">
      <w:pPr>
        <w:pStyle w:val="Akapitzlist"/>
        <w:spacing w:after="120" w:line="240" w:lineRule="auto"/>
        <w:ind w:left="0"/>
        <w:contextualSpacing w:val="0"/>
        <w:jc w:val="both"/>
        <w:rPr>
          <w:rFonts w:asciiTheme="majorHAnsi" w:hAnsiTheme="majorHAnsi" w:cstheme="majorHAnsi"/>
          <w:sz w:val="18"/>
          <w:szCs w:val="18"/>
        </w:rPr>
      </w:pPr>
    </w:p>
    <w:p w14:paraId="7AD4C1BE"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sz w:val="18"/>
          <w:szCs w:val="18"/>
        </w:rPr>
      </w:pPr>
    </w:p>
    <w:p w14:paraId="4F1982AB" w14:textId="77777777" w:rsidR="008B22F3" w:rsidRPr="007856CB" w:rsidRDefault="008B22F3" w:rsidP="008B22F3">
      <w:pPr>
        <w:pStyle w:val="Akapitzlist"/>
        <w:spacing w:before="120" w:after="0" w:line="240" w:lineRule="auto"/>
        <w:ind w:left="284"/>
        <w:contextualSpacing w:val="0"/>
        <w:jc w:val="center"/>
        <w:rPr>
          <w:rFonts w:asciiTheme="majorHAnsi" w:hAnsiTheme="majorHAnsi" w:cstheme="majorHAnsi"/>
          <w:b/>
          <w:bCs/>
          <w:sz w:val="18"/>
          <w:szCs w:val="18"/>
        </w:rPr>
      </w:pPr>
      <w:r w:rsidRPr="007856CB">
        <w:rPr>
          <w:rFonts w:asciiTheme="majorHAnsi" w:hAnsiTheme="majorHAnsi" w:cstheme="majorHAnsi"/>
          <w:b/>
          <w:bCs/>
          <w:sz w:val="18"/>
          <w:szCs w:val="18"/>
        </w:rPr>
        <w:lastRenderedPageBreak/>
        <w:t>Ustalenie tekstu jednolitego statutu Spółki</w:t>
      </w:r>
    </w:p>
    <w:p w14:paraId="20B6C2A6" w14:textId="77777777" w:rsidR="008B22F3" w:rsidRPr="007856CB" w:rsidRDefault="008B22F3" w:rsidP="008B22F3">
      <w:pPr>
        <w:pStyle w:val="Akapitzlist"/>
        <w:spacing w:before="120" w:after="0" w:line="240" w:lineRule="auto"/>
        <w:ind w:left="0"/>
        <w:contextualSpacing w:val="0"/>
        <w:jc w:val="both"/>
        <w:rPr>
          <w:rFonts w:asciiTheme="majorHAnsi" w:hAnsiTheme="majorHAnsi" w:cstheme="majorHAnsi"/>
          <w:sz w:val="18"/>
          <w:szCs w:val="18"/>
        </w:rPr>
      </w:pPr>
      <w:r w:rsidRPr="007856CB">
        <w:rPr>
          <w:rFonts w:asciiTheme="majorHAnsi" w:hAnsiTheme="majorHAnsi" w:cstheme="majorHAnsi"/>
          <w:sz w:val="18"/>
          <w:szCs w:val="18"/>
        </w:rPr>
        <w:t>Zwyczajne Walne Zgromadzenie Spółki postanawia ustalić tekst jednolity statutu Spółki, uwzględniający jego zmiany dokonywane na podstawie niniejszej uchwały, w następującym brzmieniu:</w:t>
      </w:r>
    </w:p>
    <w:p w14:paraId="1E561CB2" w14:textId="77777777" w:rsidR="008B22F3" w:rsidRPr="007856CB" w:rsidRDefault="008B22F3" w:rsidP="008B22F3">
      <w:pPr>
        <w:tabs>
          <w:tab w:val="left" w:leader="hyphen" w:pos="9072"/>
        </w:tabs>
        <w:spacing w:after="0" w:line="240" w:lineRule="auto"/>
        <w:ind w:right="80" w:hanging="10"/>
        <w:jc w:val="center"/>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hAnsiTheme="majorHAnsi" w:cstheme="majorHAnsi"/>
          <w:sz w:val="18"/>
          <w:szCs w:val="18"/>
        </w:rPr>
        <w:t>„</w:t>
      </w:r>
      <w:r w:rsidRPr="007856CB">
        <w:rPr>
          <w:rFonts w:asciiTheme="majorHAnsi" w:eastAsia="Bookman Old Style" w:hAnsiTheme="majorHAnsi" w:cstheme="majorHAnsi"/>
          <w:b/>
          <w:i/>
          <w:iCs/>
          <w:color w:val="000000"/>
          <w:kern w:val="2"/>
          <w:sz w:val="18"/>
          <w:szCs w:val="18"/>
          <w:lang w:eastAsia="pl-PL"/>
          <w14:ligatures w14:val="standardContextual"/>
        </w:rPr>
        <w:t xml:space="preserve">STATUT SPÓŁKI </w:t>
      </w:r>
    </w:p>
    <w:p w14:paraId="68978997" w14:textId="77777777" w:rsidR="008B22F3" w:rsidRPr="007856CB" w:rsidRDefault="008B22F3" w:rsidP="008B22F3">
      <w:pPr>
        <w:tabs>
          <w:tab w:val="left" w:leader="hyphen" w:pos="9072"/>
        </w:tabs>
        <w:spacing w:after="120" w:line="240" w:lineRule="auto"/>
        <w:ind w:right="80" w:hanging="11"/>
        <w:jc w:val="center"/>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BIOCELTIX SPÓŁKA AKCYJNA </w:t>
      </w:r>
    </w:p>
    <w:p w14:paraId="18865726"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 Postanowienia Ogólne </w:t>
      </w:r>
    </w:p>
    <w:p w14:paraId="74CA18DB" w14:textId="77777777" w:rsidR="008B22F3" w:rsidRPr="007856CB" w:rsidRDefault="008B22F3" w:rsidP="008B22F3">
      <w:pPr>
        <w:numPr>
          <w:ilvl w:val="0"/>
          <w:numId w:val="25"/>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Spółka powstała w wyniku przekształcenia spółki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Bioceltix</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spółka z ograniczoną odpowiedzialnością z siedzibą we Wrocławiu w spółkę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Bioceltix</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Spółka Akcyjna (zwaną w niniejszym statucie „</w:t>
      </w:r>
      <w:r w:rsidRPr="007856CB">
        <w:rPr>
          <w:rFonts w:asciiTheme="majorHAnsi" w:eastAsia="Bookman Old Style" w:hAnsiTheme="majorHAnsi" w:cstheme="majorHAnsi"/>
          <w:b/>
          <w:i/>
          <w:iCs/>
          <w:color w:val="000000"/>
          <w:kern w:val="2"/>
          <w:sz w:val="18"/>
          <w:szCs w:val="18"/>
          <w:lang w:eastAsia="pl-PL"/>
          <w14:ligatures w14:val="standardContextual"/>
        </w:rPr>
        <w:t>Spółką</w:t>
      </w:r>
      <w:r w:rsidRPr="007856CB">
        <w:rPr>
          <w:rFonts w:asciiTheme="majorHAnsi" w:eastAsia="Bookman Old Style" w:hAnsiTheme="majorHAnsi" w:cstheme="majorHAnsi"/>
          <w:i/>
          <w:iCs/>
          <w:color w:val="000000"/>
          <w:kern w:val="2"/>
          <w:sz w:val="18"/>
          <w:szCs w:val="18"/>
          <w:lang w:eastAsia="pl-PL"/>
          <w14:ligatures w14:val="standardContextual"/>
        </w:rPr>
        <w:t>”).</w:t>
      </w:r>
    </w:p>
    <w:p w14:paraId="0828716A" w14:textId="77777777" w:rsidR="008B22F3" w:rsidRPr="007856CB" w:rsidRDefault="008B22F3" w:rsidP="008B22F3">
      <w:pPr>
        <w:numPr>
          <w:ilvl w:val="0"/>
          <w:numId w:val="25"/>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Założycielami Spółki są: Łukasz Piotr Bzdzion (PESEL 82062218531), spółka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Startit</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Fund spółka z ograniczoną odpowiedzialnością z siedzibą we Wrocławiu (KRS 0000463053), spółka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Infini</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spółka z ograniczoną odpowiedzialnością z siedzibą w Białymstoku (KRS 0000532521), spółka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Betelgeza</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Venture Capital spółka z ograniczoną odpowiedzialnością z siedzibą w Gdyni (KRS 0000663676), spółka pod firmą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Leonarto</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Alfa spółka z ograniczoną odpowiedzialnością z siedzibą we Wrocławiu (KRS 0000616372).</w:t>
      </w:r>
    </w:p>
    <w:p w14:paraId="129399B2"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2 Firma </w:t>
      </w:r>
    </w:p>
    <w:p w14:paraId="437BFF41" w14:textId="77777777" w:rsidR="008B22F3" w:rsidRPr="007856CB" w:rsidRDefault="008B22F3" w:rsidP="008B22F3">
      <w:pPr>
        <w:numPr>
          <w:ilvl w:val="0"/>
          <w:numId w:val="26"/>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Firma Spółki brzmi: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Bioceltix</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Spółka Akcyjna.</w:t>
      </w:r>
    </w:p>
    <w:p w14:paraId="06FC464B" w14:textId="77777777" w:rsidR="008B22F3" w:rsidRPr="007856CB" w:rsidRDefault="008B22F3" w:rsidP="008B22F3">
      <w:pPr>
        <w:numPr>
          <w:ilvl w:val="0"/>
          <w:numId w:val="26"/>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Spółka może używać w obrocie skrótu firmy: </w:t>
      </w:r>
      <w:proofErr w:type="spellStart"/>
      <w:r w:rsidRPr="007856CB">
        <w:rPr>
          <w:rFonts w:asciiTheme="majorHAnsi" w:eastAsia="Bookman Old Style" w:hAnsiTheme="majorHAnsi" w:cstheme="majorHAnsi"/>
          <w:b/>
          <w:i/>
          <w:iCs/>
          <w:color w:val="000000"/>
          <w:kern w:val="2"/>
          <w:sz w:val="18"/>
          <w:szCs w:val="18"/>
          <w:lang w:eastAsia="pl-PL"/>
          <w14:ligatures w14:val="standardContextual"/>
        </w:rPr>
        <w:t>Bioceltix</w:t>
      </w:r>
      <w:proofErr w:type="spellEnd"/>
      <w:r w:rsidRPr="007856CB">
        <w:rPr>
          <w:rFonts w:asciiTheme="majorHAnsi" w:eastAsia="Bookman Old Style" w:hAnsiTheme="majorHAnsi" w:cstheme="majorHAnsi"/>
          <w:b/>
          <w:i/>
          <w:iCs/>
          <w:color w:val="000000"/>
          <w:kern w:val="2"/>
          <w:sz w:val="18"/>
          <w:szCs w:val="18"/>
          <w:lang w:eastAsia="pl-PL"/>
          <w14:ligatures w14:val="standardContextual"/>
        </w:rPr>
        <w:t xml:space="preserve"> S.A.</w:t>
      </w:r>
      <w:r w:rsidRPr="007856CB">
        <w:rPr>
          <w:rFonts w:asciiTheme="majorHAnsi" w:eastAsia="Bookman Old Style" w:hAnsiTheme="majorHAnsi" w:cstheme="majorHAnsi"/>
          <w:i/>
          <w:iCs/>
          <w:color w:val="000000"/>
          <w:kern w:val="2"/>
          <w:sz w:val="18"/>
          <w:szCs w:val="18"/>
          <w:lang w:eastAsia="pl-PL"/>
          <w14:ligatures w14:val="standardContextual"/>
        </w:rPr>
        <w:t>.</w:t>
      </w:r>
    </w:p>
    <w:p w14:paraId="17217162" w14:textId="77777777" w:rsidR="008B22F3" w:rsidRPr="007856CB" w:rsidRDefault="008B22F3" w:rsidP="008B22F3">
      <w:pPr>
        <w:numPr>
          <w:ilvl w:val="0"/>
          <w:numId w:val="26"/>
        </w:numPr>
        <w:tabs>
          <w:tab w:val="left" w:leader="hyphen" w:pos="9072"/>
        </w:tabs>
        <w:spacing w:after="120" w:line="240" w:lineRule="auto"/>
        <w:ind w:left="426" w:right="79"/>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może używać wyróżniającego ją znaku graficznego.</w:t>
      </w:r>
    </w:p>
    <w:p w14:paraId="790770AC"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3 Siedziba </w:t>
      </w:r>
    </w:p>
    <w:p w14:paraId="2D7A7FE8" w14:textId="77777777" w:rsidR="008B22F3" w:rsidRPr="007856CB" w:rsidRDefault="008B22F3" w:rsidP="008B22F3">
      <w:pPr>
        <w:tabs>
          <w:tab w:val="left" w:leader="hyphen" w:pos="9072"/>
        </w:tabs>
        <w:spacing w:after="120" w:line="240" w:lineRule="auto"/>
        <w:ind w:left="72" w:right="80" w:hanging="1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Siedzibą Spółki jest Wrocław.</w:t>
      </w:r>
    </w:p>
    <w:p w14:paraId="4F899FDA"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4 Obszar i zakres działania </w:t>
      </w:r>
    </w:p>
    <w:p w14:paraId="6DC64D5A" w14:textId="77777777" w:rsidR="008B22F3" w:rsidRPr="007856CB" w:rsidRDefault="008B22F3" w:rsidP="008B22F3">
      <w:pPr>
        <w:numPr>
          <w:ilvl w:val="0"/>
          <w:numId w:val="27"/>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może działać na obszarze Rzeczypospolitej Polskiej oraz poza jej granicami.</w:t>
      </w:r>
    </w:p>
    <w:p w14:paraId="6B9269C2" w14:textId="77777777" w:rsidR="008B22F3" w:rsidRPr="007856CB" w:rsidRDefault="008B22F3" w:rsidP="008B22F3">
      <w:pPr>
        <w:numPr>
          <w:ilvl w:val="0"/>
          <w:numId w:val="27"/>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może tworzyć oddziały, filie i zakłady, przedsiębiorstwa i przedstawicielstwa w kraju i za granicą, przystępować do innych spółek oraz organizacji gospodarczych, a także nabywać i zbywać akcje i udziały w innych spółkach.</w:t>
      </w:r>
    </w:p>
    <w:p w14:paraId="6AF01F40" w14:textId="77777777" w:rsidR="008B22F3" w:rsidRPr="007856CB" w:rsidRDefault="008B22F3" w:rsidP="008B22F3">
      <w:pPr>
        <w:numPr>
          <w:ilvl w:val="0"/>
          <w:numId w:val="27"/>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może tworzyć przedsiębiorstwa z polskimi i zagranicznymi podmiotami gospodarczymi oraz przystępować do spółek i innych organizacji prowadzących działalność gospodarczą.</w:t>
      </w:r>
    </w:p>
    <w:p w14:paraId="18EBCA1F" w14:textId="77777777" w:rsidR="008B22F3" w:rsidRPr="007856CB" w:rsidRDefault="008B22F3" w:rsidP="008B22F3">
      <w:pPr>
        <w:numPr>
          <w:ilvl w:val="0"/>
          <w:numId w:val="27"/>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może emitować obligacje, w tym obligacje zamienne na akcje, oraz warranty subskrypcyjne.</w:t>
      </w:r>
    </w:p>
    <w:p w14:paraId="28B5C215"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5 Czas trwania Spółki </w:t>
      </w:r>
    </w:p>
    <w:p w14:paraId="5FE369A8" w14:textId="77777777" w:rsidR="008B22F3" w:rsidRPr="007856CB" w:rsidRDefault="008B22F3" w:rsidP="008B22F3">
      <w:pPr>
        <w:tabs>
          <w:tab w:val="left" w:leader="hyphen" w:pos="9072"/>
        </w:tabs>
        <w:spacing w:after="120" w:line="240" w:lineRule="auto"/>
        <w:ind w:left="72" w:right="80" w:hanging="1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Czas trwania Spółki jest nieoznaczony.</w:t>
      </w:r>
    </w:p>
    <w:p w14:paraId="32593D8E"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6 Przedmiot działalności Spółki </w:t>
      </w:r>
    </w:p>
    <w:p w14:paraId="249B3D2A" w14:textId="77777777" w:rsidR="008B22F3" w:rsidRPr="007856CB" w:rsidRDefault="008B22F3" w:rsidP="008B22F3">
      <w:pPr>
        <w:numPr>
          <w:ilvl w:val="0"/>
          <w:numId w:val="16"/>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Celem Spółki jest prowadzenie działalności gospodarczej na zasadach określonych w niniejszym Statucie oraz powszechnie obowiązujących przepisach prawa, w kraju i za granicą.</w:t>
      </w:r>
    </w:p>
    <w:p w14:paraId="72864028" w14:textId="77777777" w:rsidR="008B22F3" w:rsidRPr="007856CB" w:rsidRDefault="008B22F3" w:rsidP="008B22F3">
      <w:pPr>
        <w:numPr>
          <w:ilvl w:val="0"/>
          <w:numId w:val="16"/>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Przedmiotem działalności Spółki, zgodnie z Polską Klasyfikacją Działalności, jest:</w:t>
      </w:r>
    </w:p>
    <w:p w14:paraId="23583ED0"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10.91.Z Produkcja gotowej paszy dla zwierząt gospodarskich,</w:t>
      </w:r>
    </w:p>
    <w:p w14:paraId="0B6E63D8"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10.92.Z Produkcja gotowej karmy dla zwierząt domowych,</w:t>
      </w:r>
    </w:p>
    <w:p w14:paraId="24F90460"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20.20.C Produkcja pozostałych środków agrochemicznych,</w:t>
      </w:r>
    </w:p>
    <w:p w14:paraId="0029A57B"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20.42.Z Produkcja wyrobów kosmetycznych i toaletowych,</w:t>
      </w:r>
    </w:p>
    <w:p w14:paraId="58BE018D"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21.10.Z Produkcja podstawowych substancji farmaceutycznych,</w:t>
      </w:r>
    </w:p>
    <w:p w14:paraId="0C4E5BF7"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21.20.Z Produkcja leków i pozostałych wyrobów farmaceutycznych,</w:t>
      </w:r>
    </w:p>
    <w:p w14:paraId="352AB726"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PKD 46.46.Z Sprzedaż hurtowa wyrobów farmaceutycznych i medycznych,</w:t>
      </w:r>
    </w:p>
    <w:p w14:paraId="42C0EAEC"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46.85.B Pozostała sprzedaż hurtowa wyrobów chemicznych,</w:t>
      </w:r>
    </w:p>
    <w:p w14:paraId="7E012976"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71.20.C Pozostałe badania i analizy techniczne,</w:t>
      </w:r>
    </w:p>
    <w:p w14:paraId="0DA089E2"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72.10.Z Badania naukowe i prace rozwojowe w dziedzinie nauk przyrodniczych i technicznych,</w:t>
      </w:r>
    </w:p>
    <w:p w14:paraId="62D659DF" w14:textId="77777777" w:rsidR="008B22F3" w:rsidRPr="007856CB" w:rsidRDefault="008B22F3" w:rsidP="008B22F3">
      <w:pPr>
        <w:numPr>
          <w:ilvl w:val="1"/>
          <w:numId w:val="17"/>
        </w:numPr>
        <w:tabs>
          <w:tab w:val="left" w:leader="hyphen" w:pos="9072"/>
        </w:tabs>
        <w:spacing w:after="120" w:line="240" w:lineRule="auto"/>
        <w:ind w:left="709" w:right="80" w:hanging="283"/>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PKD 77.40.B Pozostała dzierżawa własności intelektualnej i podobnych produktów, z wyłączeniem prac chronionych prawem autorskim.</w:t>
      </w:r>
    </w:p>
    <w:p w14:paraId="5442B7BF" w14:textId="77777777" w:rsidR="008B22F3" w:rsidRPr="007856CB" w:rsidRDefault="008B22F3" w:rsidP="008B22F3">
      <w:pPr>
        <w:numPr>
          <w:ilvl w:val="0"/>
          <w:numId w:val="16"/>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Jeżeli podjęcie lub prowadzenie przez Spółkę określonej działalności wymaga uzyskania koncesji lub zezwolenia, Spółka podejmie taką działalność po ich uzyskaniu.</w:t>
      </w:r>
    </w:p>
    <w:p w14:paraId="1E8FFE45" w14:textId="77777777" w:rsidR="008B22F3" w:rsidRPr="007856CB" w:rsidRDefault="008B22F3" w:rsidP="008B22F3">
      <w:pPr>
        <w:numPr>
          <w:ilvl w:val="0"/>
          <w:numId w:val="16"/>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Uchwały o istotnej zmianie przedmiotu działalności Spółki nie wymagają wykupu akcji, o którym mowa w art. 417 Kodeksu spółek handlowych, o ile zostaną powzięte większością dwóch trzecich głosów w obecności osób reprezentujących co najmniej połowę kapitału zakładowego Spółki.</w:t>
      </w:r>
    </w:p>
    <w:p w14:paraId="151A556A"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7 Kapitał zakładowy </w:t>
      </w:r>
    </w:p>
    <w:p w14:paraId="2E4B8DC3"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Kapitał zakładowy Spółki wynosi 553.225,30 zł (pięćset pięćdziesiąt trzy tysiące dwieście dwadzieścia pięć złotych i 30/100) i dzieli się na 5.532.253 (pięć milionów pięćset trzydzieści dwa tysiące dwieście pięćdziesiąt trzy) akcje zwykłe na okaziciela o wartości nominalnej 0,10 zł (dziesięć groszy) każda, w tym:</w:t>
      </w:r>
    </w:p>
    <w:p w14:paraId="238A4BE8"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1.981.500 zwykłych akcji na okaziciela serii A;</w:t>
      </w:r>
    </w:p>
    <w:p w14:paraId="0B8EC380"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104.290 zwykłych akcji na okaziciela serii B;</w:t>
      </w:r>
    </w:p>
    <w:p w14:paraId="7EEEAC29"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172.000 zwykłych akcji na okaziciela serii C;</w:t>
      </w:r>
    </w:p>
    <w:p w14:paraId="254F969C"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186.224 zwykłych akcji na okaziciela serii D;</w:t>
      </w:r>
    </w:p>
    <w:p w14:paraId="79519FE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271.550 zwykłych akcji na okaziciela serii E;</w:t>
      </w:r>
    </w:p>
    <w:p w14:paraId="4B7175A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211.225 zwykłych akcji na okaziciela serii F;</w:t>
      </w:r>
    </w:p>
    <w:p w14:paraId="5ABC76B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360.000 zwykłych akcji na okaziciela serii G;</w:t>
      </w:r>
    </w:p>
    <w:p w14:paraId="0B242B65"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140.536 zwykłych akcji na okaziciela serii I;</w:t>
      </w:r>
    </w:p>
    <w:p w14:paraId="05A18967"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152.143 zwykłych akcji na okaziciela serii J;</w:t>
      </w:r>
    </w:p>
    <w:p w14:paraId="2120E161"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400.000 zwykłych akcji na okaziciela serii K;</w:t>
      </w:r>
    </w:p>
    <w:p w14:paraId="0572F91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150.000 zwykłych akcji na okaziciela serii L;</w:t>
      </w:r>
    </w:p>
    <w:p w14:paraId="26CBB430"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795.000 zwykłych akcji na okaziciela serii M;</w:t>
      </w:r>
    </w:p>
    <w:p w14:paraId="6FCC696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bCs/>
          <w:i/>
          <w:iCs/>
          <w:color w:val="000000"/>
          <w:kern w:val="2"/>
          <w:sz w:val="18"/>
          <w:szCs w:val="18"/>
          <w:lang w:eastAsia="pl-PL"/>
          <w14:ligatures w14:val="standardContextual"/>
        </w:rPr>
        <w:t>457.785</w:t>
      </w:r>
      <w:r w:rsidRPr="007856CB">
        <w:rPr>
          <w:rFonts w:asciiTheme="majorHAnsi" w:eastAsia="Bookman Old Style" w:hAnsiTheme="majorHAnsi" w:cstheme="majorHAnsi"/>
          <w:i/>
          <w:iCs/>
          <w:color w:val="000000"/>
          <w:kern w:val="2"/>
          <w:sz w:val="18"/>
          <w:szCs w:val="18"/>
          <w:lang w:eastAsia="pl-PL"/>
          <w14:ligatures w14:val="standardContextual"/>
        </w:rPr>
        <w:t xml:space="preserve"> zwykłych akcji na okaziciela serii N;</w:t>
      </w:r>
    </w:p>
    <w:p w14:paraId="0FF5928E"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150.000 zwykłych akcji na okaziciela serii O.</w:t>
      </w:r>
    </w:p>
    <w:p w14:paraId="5B041326"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Kapitał zakładowy Spółki pokryty został w całości majątkiem spółki przekształcanej - </w:t>
      </w:r>
      <w:proofErr w:type="spellStart"/>
      <w:r w:rsidRPr="007856CB">
        <w:rPr>
          <w:rFonts w:asciiTheme="majorHAnsi" w:eastAsia="Bookman Old Style" w:hAnsiTheme="majorHAnsi" w:cstheme="majorHAnsi"/>
          <w:i/>
          <w:iCs/>
          <w:color w:val="000000"/>
          <w:kern w:val="2"/>
          <w:sz w:val="18"/>
          <w:szCs w:val="18"/>
          <w:lang w:eastAsia="pl-PL"/>
          <w14:ligatures w14:val="standardContextual"/>
        </w:rPr>
        <w:t>Bioceltix</w:t>
      </w:r>
      <w:proofErr w:type="spellEnd"/>
      <w:r w:rsidRPr="007856CB">
        <w:rPr>
          <w:rFonts w:asciiTheme="majorHAnsi" w:eastAsia="Bookman Old Style" w:hAnsiTheme="majorHAnsi" w:cstheme="majorHAnsi"/>
          <w:i/>
          <w:iCs/>
          <w:color w:val="000000"/>
          <w:kern w:val="2"/>
          <w:sz w:val="18"/>
          <w:szCs w:val="18"/>
          <w:lang w:eastAsia="pl-PL"/>
          <w14:ligatures w14:val="standardContextual"/>
        </w:rPr>
        <w:t xml:space="preserve"> spółka z ograniczoną odpowiedzialnością z siedzibą we Wrocławiu. Akcje serii B, C, D, E, F, G, I, J, K, L, M, N i O zostały w całości pokryte przed odpowiednimi podwyższeniami kapitału zakładowego.</w:t>
      </w:r>
    </w:p>
    <w:p w14:paraId="465F702C"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Akcje Spółki mogą być imienne lub na okaziciela.</w:t>
      </w:r>
    </w:p>
    <w:p w14:paraId="565F19E1"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 zastrzeżeniem ust. 5 poniżej, zamiana akcji imiennych na akcje na okaziciela i odwrotnie może zostać dokonana na pisemne żądanie akcjonariusza. Akcjonariusz zobowiązany jest wskazać w żądaniu konwersji liczbę akcji objętych takim żądaniem wraz z innymi informacjami niezbędnymi do jednoznacznej identyfikacji tych akcji, jak również załączyć do żądania dokumenty potwierdzające fakt posiadania przez niego akcji objętych żądaniem. Konwersja jest przeprowadzana na podstawie uchwały Zarządu, która powinna być podjęta w ciągu 14 (czternastu) dni licząc od dnia przedstawienia Zarządowi pisemnego żądania dokonania zamiany akcji. W przypadku dokonania zamiany akcji Zarząd umieszcza w porządku obrad najbliższego Walnego Zgromadzenia punkt dotyczący zmiany statutu Spółki w celu dostosowania jego treści do stanu faktycznego powstałego w wyniku zamiany akcji.</w:t>
      </w:r>
    </w:p>
    <w:p w14:paraId="1970BB09"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Zamiana akcji na okaziciela na akcje imienne jest niedopuszczalna tak długo, jak akcje na okaziciela Spółki będą przedmiotem obrotu w alternatywnym systemie obrotu prowadzonym przez Giełdę Papierów Wartościowych w Warszawie S.A. („</w:t>
      </w:r>
      <w:r w:rsidRPr="007856CB">
        <w:rPr>
          <w:rFonts w:asciiTheme="majorHAnsi" w:eastAsia="Bookman Old Style" w:hAnsiTheme="majorHAnsi" w:cstheme="majorHAnsi"/>
          <w:b/>
          <w:i/>
          <w:iCs/>
          <w:color w:val="000000"/>
          <w:kern w:val="2"/>
          <w:sz w:val="18"/>
          <w:szCs w:val="18"/>
          <w:lang w:eastAsia="pl-PL"/>
          <w14:ligatures w14:val="standardContextual"/>
        </w:rPr>
        <w:t>GPW</w:t>
      </w:r>
      <w:r w:rsidRPr="007856CB">
        <w:rPr>
          <w:rFonts w:asciiTheme="majorHAnsi" w:eastAsia="Bookman Old Style" w:hAnsiTheme="majorHAnsi" w:cstheme="majorHAnsi"/>
          <w:i/>
          <w:iCs/>
          <w:color w:val="000000"/>
          <w:kern w:val="2"/>
          <w:sz w:val="18"/>
          <w:szCs w:val="18"/>
          <w:lang w:eastAsia="pl-PL"/>
          <w14:ligatures w14:val="standardContextual"/>
        </w:rPr>
        <w:t>”) lub na rynku regulowanym prowadzonym przez GPW.</w:t>
      </w:r>
    </w:p>
    <w:p w14:paraId="14C40A22" w14:textId="77777777" w:rsidR="008B22F3" w:rsidRPr="007856CB" w:rsidRDefault="008B22F3" w:rsidP="008B22F3">
      <w:pPr>
        <w:numPr>
          <w:ilvl w:val="0"/>
          <w:numId w:val="18"/>
        </w:numPr>
        <w:tabs>
          <w:tab w:val="left" w:leader="hyphen" w:pos="9072"/>
        </w:tabs>
        <w:spacing w:after="120" w:line="240" w:lineRule="auto"/>
        <w:ind w:right="80" w:hanging="422"/>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gdy akcje imienne są objęte wspólnością majątkową małżeńską akcjonariuszem może być tylko jeden ze współmałżonków, a wstąpienie do Spółki drugiego ze współmałżonków jest wykluczone.</w:t>
      </w:r>
    </w:p>
    <w:p w14:paraId="3FC5873A"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lastRenderedPageBreak/>
        <w:t xml:space="preserve">§ 7A Kapitał warunkowy </w:t>
      </w:r>
    </w:p>
    <w:p w14:paraId="17E1A3D9" w14:textId="77777777" w:rsidR="008B22F3" w:rsidRPr="007856CB" w:rsidRDefault="008B22F3" w:rsidP="008B22F3">
      <w:pPr>
        <w:pStyle w:val="Akapitzlist"/>
        <w:numPr>
          <w:ilvl w:val="0"/>
          <w:numId w:val="28"/>
        </w:numPr>
        <w:spacing w:after="120" w:line="240" w:lineRule="auto"/>
        <w:ind w:left="426"/>
        <w:contextualSpacing w:val="0"/>
        <w:jc w:val="both"/>
        <w:rPr>
          <w:rFonts w:asciiTheme="majorHAnsi" w:hAnsiTheme="majorHAnsi" w:cstheme="majorHAnsi"/>
          <w:i/>
          <w:sz w:val="18"/>
          <w:szCs w:val="18"/>
        </w:rPr>
      </w:pPr>
      <w:r w:rsidRPr="007856CB">
        <w:rPr>
          <w:rFonts w:asciiTheme="majorHAnsi" w:hAnsiTheme="majorHAnsi" w:cstheme="majorHAnsi"/>
          <w:i/>
          <w:sz w:val="18"/>
          <w:szCs w:val="18"/>
        </w:rPr>
        <w:t xml:space="preserve">Warunkowy kapitał zakładowy Spółki wynosi nie więcej niż </w:t>
      </w:r>
      <w:r w:rsidRPr="00D63916">
        <w:rPr>
          <w:rFonts w:asciiTheme="majorHAnsi" w:hAnsiTheme="majorHAnsi" w:cstheme="majorHAnsi"/>
          <w:i/>
          <w:sz w:val="18"/>
          <w:szCs w:val="18"/>
        </w:rPr>
        <w:t>24.782,50 zł (dwadzieścia cztery tysiące siedemset osiemdziesiąt dwa złote i pięćdziesiąt groszy)</w:t>
      </w:r>
      <w:r w:rsidRPr="007856CB">
        <w:rPr>
          <w:rFonts w:asciiTheme="majorHAnsi" w:hAnsiTheme="majorHAnsi" w:cstheme="majorHAnsi"/>
          <w:i/>
          <w:sz w:val="18"/>
          <w:szCs w:val="18"/>
        </w:rPr>
        <w:t xml:space="preserve"> i dzieli się na nie więcej niż </w:t>
      </w:r>
      <w:r w:rsidRPr="00D63916">
        <w:rPr>
          <w:rFonts w:asciiTheme="majorHAnsi" w:hAnsiTheme="majorHAnsi" w:cstheme="majorHAnsi"/>
          <w:i/>
          <w:sz w:val="18"/>
          <w:szCs w:val="18"/>
        </w:rPr>
        <w:t>247.825 (dwieście czterdzieści siedem tysięcy osiemset dwadzieścia pięć)</w:t>
      </w:r>
      <w:r w:rsidRPr="007856CB">
        <w:rPr>
          <w:rFonts w:asciiTheme="majorHAnsi" w:hAnsiTheme="majorHAnsi" w:cstheme="majorHAnsi"/>
          <w:i/>
          <w:sz w:val="18"/>
          <w:szCs w:val="18"/>
        </w:rPr>
        <w:t xml:space="preserve"> akcji zwykłych na okaziciela serii H o wartości nominalnej 0,10 zł (dziesięć groszy) każda. </w:t>
      </w:r>
    </w:p>
    <w:p w14:paraId="46578543" w14:textId="77777777" w:rsidR="008B22F3" w:rsidRPr="006C50D9" w:rsidRDefault="008B22F3" w:rsidP="008B22F3">
      <w:pPr>
        <w:pStyle w:val="Akapitzlist"/>
        <w:numPr>
          <w:ilvl w:val="0"/>
          <w:numId w:val="28"/>
        </w:numPr>
        <w:spacing w:after="120" w:line="240" w:lineRule="auto"/>
        <w:ind w:left="426"/>
        <w:contextualSpacing w:val="0"/>
        <w:jc w:val="both"/>
        <w:rPr>
          <w:rFonts w:asciiTheme="majorHAnsi" w:hAnsiTheme="majorHAnsi" w:cstheme="majorHAnsi"/>
          <w:i/>
          <w:sz w:val="18"/>
          <w:szCs w:val="18"/>
        </w:rPr>
      </w:pPr>
      <w:r w:rsidRPr="007856CB">
        <w:rPr>
          <w:rFonts w:asciiTheme="majorHAnsi" w:hAnsiTheme="majorHAnsi" w:cstheme="majorHAnsi"/>
          <w:i/>
          <w:sz w:val="18"/>
          <w:szCs w:val="18"/>
        </w:rPr>
        <w:t xml:space="preserve">Celem warunkowego </w:t>
      </w:r>
      <w:r w:rsidRPr="006C50D9">
        <w:rPr>
          <w:rFonts w:asciiTheme="majorHAnsi" w:hAnsiTheme="majorHAnsi" w:cstheme="majorHAnsi"/>
          <w:i/>
          <w:sz w:val="18"/>
          <w:szCs w:val="18"/>
        </w:rPr>
        <w:t xml:space="preserve">podwyższenia kapitału zakładowego Spółki jest przyznanie prawa do objęcia akcji serii H posiadaczom imiennych warrantów subskrypcyjnych serii A emitowanych przez Spółkę na podstawie uchwały nr </w:t>
      </w:r>
      <w:r>
        <w:rPr>
          <w:rFonts w:asciiTheme="majorHAnsi" w:hAnsiTheme="majorHAnsi" w:cstheme="majorHAnsi"/>
          <w:i/>
          <w:sz w:val="18"/>
          <w:szCs w:val="18"/>
        </w:rPr>
        <w:t>22</w:t>
      </w:r>
      <w:r w:rsidRPr="006C50D9">
        <w:rPr>
          <w:rFonts w:asciiTheme="majorHAnsi" w:hAnsiTheme="majorHAnsi" w:cstheme="majorHAnsi"/>
          <w:i/>
          <w:sz w:val="18"/>
          <w:szCs w:val="18"/>
        </w:rPr>
        <w:t xml:space="preserve">/06/2026 Zwyczajnego Walnego Zgromadzenia Spółki z dnia </w:t>
      </w:r>
      <w:r>
        <w:rPr>
          <w:rFonts w:asciiTheme="majorHAnsi" w:hAnsiTheme="majorHAnsi" w:cstheme="majorHAnsi"/>
          <w:i/>
          <w:sz w:val="18"/>
          <w:szCs w:val="18"/>
        </w:rPr>
        <w:t>16 lipca</w:t>
      </w:r>
      <w:r w:rsidRPr="006C50D9">
        <w:rPr>
          <w:rFonts w:asciiTheme="majorHAnsi" w:hAnsiTheme="majorHAnsi" w:cstheme="majorHAnsi"/>
          <w:i/>
          <w:sz w:val="18"/>
          <w:szCs w:val="18"/>
        </w:rPr>
        <w:t xml:space="preserve"> 2026 r. („</w:t>
      </w:r>
      <w:r w:rsidRPr="006C50D9">
        <w:rPr>
          <w:rFonts w:asciiTheme="majorHAnsi" w:hAnsiTheme="majorHAnsi" w:cstheme="majorHAnsi"/>
          <w:b/>
          <w:i/>
          <w:sz w:val="18"/>
          <w:szCs w:val="18"/>
        </w:rPr>
        <w:t>Warranty Subskrypcyjne</w:t>
      </w:r>
      <w:r w:rsidRPr="006C50D9">
        <w:rPr>
          <w:rFonts w:asciiTheme="majorHAnsi" w:hAnsiTheme="majorHAnsi" w:cstheme="majorHAnsi"/>
          <w:i/>
          <w:sz w:val="18"/>
          <w:szCs w:val="18"/>
        </w:rPr>
        <w:t xml:space="preserve">”). </w:t>
      </w:r>
    </w:p>
    <w:p w14:paraId="26A0357B" w14:textId="77777777" w:rsidR="008B22F3" w:rsidRPr="006C50D9" w:rsidRDefault="008B22F3" w:rsidP="008B22F3">
      <w:pPr>
        <w:pStyle w:val="Akapitzlist"/>
        <w:numPr>
          <w:ilvl w:val="0"/>
          <w:numId w:val="28"/>
        </w:numPr>
        <w:spacing w:after="120" w:line="240" w:lineRule="auto"/>
        <w:ind w:left="426"/>
        <w:contextualSpacing w:val="0"/>
        <w:jc w:val="both"/>
        <w:rPr>
          <w:rFonts w:asciiTheme="majorHAnsi" w:hAnsiTheme="majorHAnsi" w:cstheme="majorHAnsi"/>
          <w:i/>
          <w:sz w:val="18"/>
          <w:szCs w:val="18"/>
        </w:rPr>
      </w:pPr>
      <w:r w:rsidRPr="006C50D9">
        <w:rPr>
          <w:rFonts w:asciiTheme="majorHAnsi" w:hAnsiTheme="majorHAnsi" w:cstheme="majorHAnsi"/>
          <w:i/>
          <w:sz w:val="18"/>
          <w:szCs w:val="18"/>
        </w:rPr>
        <w:t>Uprawnionymi do objęcia akcji serii H będą posiadacze Warrantów Subskrypcyjnych.</w:t>
      </w:r>
    </w:p>
    <w:p w14:paraId="6B3076DD" w14:textId="77777777" w:rsidR="008B22F3" w:rsidRPr="00DB17C3" w:rsidRDefault="008B22F3" w:rsidP="008B22F3">
      <w:pPr>
        <w:pStyle w:val="Akapitzlist"/>
        <w:numPr>
          <w:ilvl w:val="0"/>
          <w:numId w:val="28"/>
        </w:numPr>
        <w:spacing w:after="120" w:line="240" w:lineRule="auto"/>
        <w:ind w:left="426"/>
        <w:contextualSpacing w:val="0"/>
        <w:jc w:val="both"/>
        <w:rPr>
          <w:rFonts w:asciiTheme="majorHAnsi" w:hAnsiTheme="majorHAnsi" w:cstheme="majorHAnsi"/>
          <w:i/>
          <w:sz w:val="18"/>
          <w:szCs w:val="18"/>
        </w:rPr>
      </w:pPr>
      <w:r w:rsidRPr="006C50D9">
        <w:rPr>
          <w:rFonts w:asciiTheme="majorHAnsi" w:hAnsiTheme="majorHAnsi" w:cstheme="majorHAnsi"/>
          <w:i/>
          <w:sz w:val="18"/>
          <w:szCs w:val="18"/>
        </w:rPr>
        <w:t>Prawo objęcia akcji serii H może być wykonane</w:t>
      </w:r>
      <w:r w:rsidRPr="007856CB">
        <w:rPr>
          <w:rFonts w:asciiTheme="majorHAnsi" w:hAnsiTheme="majorHAnsi" w:cstheme="majorHAnsi"/>
          <w:i/>
          <w:sz w:val="18"/>
          <w:szCs w:val="18"/>
        </w:rPr>
        <w:t xml:space="preserve"> do dnia 31 grudnia 20</w:t>
      </w:r>
      <w:r>
        <w:rPr>
          <w:rFonts w:asciiTheme="majorHAnsi" w:hAnsiTheme="majorHAnsi" w:cstheme="majorHAnsi"/>
          <w:i/>
          <w:sz w:val="18"/>
          <w:szCs w:val="18"/>
        </w:rPr>
        <w:t>31</w:t>
      </w:r>
      <w:r w:rsidRPr="007856CB">
        <w:rPr>
          <w:rFonts w:asciiTheme="majorHAnsi" w:hAnsiTheme="majorHAnsi" w:cstheme="majorHAnsi"/>
          <w:i/>
          <w:sz w:val="18"/>
          <w:szCs w:val="18"/>
        </w:rPr>
        <w:t xml:space="preserve"> r. (włącznie).</w:t>
      </w:r>
    </w:p>
    <w:p w14:paraId="3D4CEB8E" w14:textId="77777777" w:rsidR="008B22F3" w:rsidRPr="007856CB" w:rsidRDefault="008B22F3" w:rsidP="008B22F3">
      <w:pPr>
        <w:tabs>
          <w:tab w:val="left" w:leader="hyphen" w:pos="9072"/>
        </w:tabs>
        <w:spacing w:after="120" w:line="240" w:lineRule="auto"/>
        <w:ind w:right="80"/>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8</w:t>
      </w:r>
    </w:p>
    <w:p w14:paraId="4AF57662" w14:textId="77777777" w:rsidR="008B22F3" w:rsidRPr="007856CB" w:rsidRDefault="008B22F3" w:rsidP="008B22F3">
      <w:pPr>
        <w:keepNext/>
        <w:tabs>
          <w:tab w:val="left" w:leader="hyphen" w:pos="9072"/>
        </w:tabs>
        <w:spacing w:after="120" w:line="240" w:lineRule="auto"/>
        <w:ind w:left="84" w:right="79" w:hanging="10"/>
        <w:jc w:val="center"/>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(uchylony) </w:t>
      </w:r>
    </w:p>
    <w:p w14:paraId="45CB7899"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9 Akcje </w:t>
      </w:r>
    </w:p>
    <w:p w14:paraId="29DE6E1C" w14:textId="77777777" w:rsidR="008B22F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C6BA0">
        <w:rPr>
          <w:rFonts w:asciiTheme="majorHAnsi" w:hAnsiTheme="majorHAnsi" w:cstheme="majorHAnsi"/>
          <w:i/>
          <w:sz w:val="18"/>
          <w:szCs w:val="18"/>
        </w:rPr>
        <w:t>Jedna</w:t>
      </w:r>
      <w:r w:rsidRPr="007856CB">
        <w:rPr>
          <w:rFonts w:asciiTheme="majorHAnsi" w:eastAsia="Bookman Old Style" w:hAnsiTheme="majorHAnsi" w:cstheme="majorHAnsi"/>
          <w:i/>
          <w:iCs/>
          <w:color w:val="000000"/>
          <w:kern w:val="2"/>
          <w:sz w:val="18"/>
          <w:szCs w:val="18"/>
          <w14:ligatures w14:val="standardContextual"/>
        </w:rPr>
        <w:t xml:space="preserve"> akcja daje prawo do jednego głosu na Walnym Zgromadzeniu. Akcjonariusz może głosować odmiennie z każdej z posiadanych akcji.</w:t>
      </w:r>
    </w:p>
    <w:p w14:paraId="5532EA8F" w14:textId="77777777" w:rsidR="008B22F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hAnsiTheme="majorHAnsi" w:cstheme="majorHAnsi"/>
          <w:i/>
          <w:sz w:val="18"/>
          <w:szCs w:val="18"/>
        </w:rPr>
        <w:t>Akcjonariusze</w:t>
      </w:r>
      <w:r w:rsidRPr="00DB17C3">
        <w:rPr>
          <w:rFonts w:asciiTheme="majorHAnsi" w:eastAsia="Bookman Old Style" w:hAnsiTheme="majorHAnsi" w:cstheme="majorHAnsi"/>
          <w:i/>
          <w:iCs/>
          <w:color w:val="000000"/>
          <w:kern w:val="2"/>
          <w:sz w:val="18"/>
          <w:szCs w:val="18"/>
          <w14:ligatures w14:val="standardContextual"/>
        </w:rPr>
        <w:t xml:space="preserve"> Spółki mają prawo pierwszeństwa objęcia nowych akcji w stosunku do liczby posiadanych akcji (prawo poboru).</w:t>
      </w:r>
    </w:p>
    <w:p w14:paraId="1D5D473E" w14:textId="77777777" w:rsidR="008B22F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t>Uchwała Walnego Zgromadzenia może pozbawić akcjonariuszy prawa poboru w całości lub w części przy zachowaniu wymogów dotyczących wyłączenia prawa poboru określonych w Kodeksie spółek handlowych.</w:t>
      </w:r>
    </w:p>
    <w:p w14:paraId="1E82E074" w14:textId="77777777" w:rsidR="008B22F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t>Akcje, poza wypadkami określonymi we właściwych przepisach prawa, są zbywalne bez ograniczeń.</w:t>
      </w:r>
    </w:p>
    <w:p w14:paraId="1DE98E32" w14:textId="77777777" w:rsidR="008B22F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t>Akcje mogą być umarzane za zgodą akcjonariusza w drodze ich nabycia przez Spółkę (umorzenie dobrowolne).</w:t>
      </w:r>
    </w:p>
    <w:p w14:paraId="2400D5A7" w14:textId="77777777" w:rsidR="008B22F3" w:rsidRPr="00DB17C3"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t>Umorzenie dobrowolne realizowane jest według następującej procedury:</w:t>
      </w:r>
    </w:p>
    <w:p w14:paraId="4F113811" w14:textId="77777777" w:rsidR="008B22F3" w:rsidRPr="007856CB" w:rsidRDefault="008B22F3" w:rsidP="008B22F3">
      <w:pPr>
        <w:numPr>
          <w:ilvl w:val="1"/>
          <w:numId w:val="29"/>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podejmuje uchwałę upoważniającą Zarząd do nabycia akcji własnych celem umorzenia, określającą między innymi rodzaj akcji, liczbę akcji lub sposób określenia liczby akcji (w tym upoważnienie dla Zarządu do określenia liczby akcji), które będą podlegały nabyciu celem umorzenia, wysokość (w tym minimalną lub maksymalną wysokość) wynagrodzenia przysługującego akcjonariuszowi akcji umorzonych (w tym upoważnienie dla Zarządu do określenia ceny akcji) bądź uzasadnienie umorzenia akcji bez wynagrodzenia oraz pozostałe warunki i terminy nabycia akcji przez Spółkę (lub upoważnienie dla Zarządu do określenia warunków i terminów), jak i wskazanie kapitału służącego sfinansowaniu nabycia i umorzenia akcji;</w:t>
      </w:r>
    </w:p>
    <w:p w14:paraId="62A0BA31" w14:textId="77777777" w:rsidR="008B22F3" w:rsidRPr="007856CB" w:rsidRDefault="008B22F3" w:rsidP="008B22F3">
      <w:pPr>
        <w:numPr>
          <w:ilvl w:val="1"/>
          <w:numId w:val="29"/>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 Spółka nabywa od akcjonariusza akcje podlegające umorzeniu dobrowolnemu;</w:t>
      </w:r>
    </w:p>
    <w:p w14:paraId="4B13D7B8" w14:textId="77777777" w:rsidR="008B22F3" w:rsidRPr="007856CB" w:rsidRDefault="008B22F3" w:rsidP="008B22F3">
      <w:pPr>
        <w:numPr>
          <w:ilvl w:val="1"/>
          <w:numId w:val="29"/>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podejmuje uchwałę o umorzeniu akcji, określającą w szczególności podstawę prawną umorzenia, wysokość wynagrodzenia przysługującego akcjonariuszowi akcji umorzonych bądź uzasadnienie umorzenia akcji bez wynagrodzenia oraz sposób obniżenia kapitału zakładowego;</w:t>
      </w:r>
    </w:p>
    <w:p w14:paraId="53479997" w14:textId="77777777" w:rsidR="008B22F3" w:rsidRPr="007856CB" w:rsidRDefault="008B22F3" w:rsidP="008B22F3">
      <w:pPr>
        <w:numPr>
          <w:ilvl w:val="1"/>
          <w:numId w:val="29"/>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przeprowadzane jest obniżenie kapitału zakładowego Spółki na zasadach przewidzianych przepisami Kodeksu spółek handlowych;</w:t>
      </w:r>
    </w:p>
    <w:p w14:paraId="7CDC1755" w14:textId="77777777" w:rsidR="008B22F3" w:rsidRPr="007856CB" w:rsidRDefault="008B22F3" w:rsidP="008B22F3">
      <w:pPr>
        <w:numPr>
          <w:ilvl w:val="1"/>
          <w:numId w:val="29"/>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 chwilą rejestracji obniżenia kapitału zakładowego w rejestrze przedsiębiorców Krajowego Rejestru Sądowego akcje ulegają umorzeniu.</w:t>
      </w:r>
    </w:p>
    <w:p w14:paraId="22782426" w14:textId="77777777" w:rsidR="008B22F3" w:rsidRPr="007856CB" w:rsidRDefault="008B22F3" w:rsidP="008B22F3">
      <w:pPr>
        <w:pStyle w:val="Akapitzlist"/>
        <w:numPr>
          <w:ilvl w:val="0"/>
          <w:numId w:val="54"/>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7856CB">
        <w:rPr>
          <w:rFonts w:asciiTheme="majorHAnsi" w:eastAsia="Bookman Old Style" w:hAnsiTheme="majorHAnsi" w:cstheme="majorHAnsi"/>
          <w:i/>
          <w:iCs/>
          <w:color w:val="000000"/>
          <w:kern w:val="2"/>
          <w:sz w:val="18"/>
          <w:szCs w:val="18"/>
          <w14:ligatures w14:val="standardContextual"/>
        </w:rPr>
        <w:t>Na podstawie uchwały Walnego Zgromadzenia Spółka może emitować obligacje zamienne na akcje lub obligacje z prawem pierwszeństwa oraz warranty subskrypcyjne (imienne lub okaziciela).</w:t>
      </w:r>
    </w:p>
    <w:p w14:paraId="760F7A7A"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10</w:t>
      </w:r>
    </w:p>
    <w:p w14:paraId="4ADA8EC2" w14:textId="77777777" w:rsidR="008B22F3" w:rsidRPr="007856CB" w:rsidRDefault="008B22F3" w:rsidP="008B22F3">
      <w:pPr>
        <w:keepNext/>
        <w:tabs>
          <w:tab w:val="left" w:leader="hyphen" w:pos="9072"/>
        </w:tabs>
        <w:spacing w:after="120" w:line="240" w:lineRule="auto"/>
        <w:ind w:left="84" w:right="79" w:hanging="10"/>
        <w:jc w:val="center"/>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(uchylony) </w:t>
      </w:r>
    </w:p>
    <w:p w14:paraId="3DA38CCE"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11 </w:t>
      </w:r>
    </w:p>
    <w:p w14:paraId="465D9CFE" w14:textId="77777777" w:rsidR="008B22F3" w:rsidRPr="007856CB" w:rsidRDefault="008B22F3" w:rsidP="008B22F3">
      <w:pPr>
        <w:keepNext/>
        <w:tabs>
          <w:tab w:val="left" w:leader="hyphen" w:pos="9072"/>
        </w:tabs>
        <w:spacing w:after="120" w:line="240" w:lineRule="auto"/>
        <w:ind w:left="84" w:right="79" w:hanging="10"/>
        <w:jc w:val="center"/>
        <w:outlineLvl w:val="0"/>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(uchylony) </w:t>
      </w:r>
    </w:p>
    <w:p w14:paraId="105C942B"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12 Zmiana wysokości kapitału zakładowego </w:t>
      </w:r>
    </w:p>
    <w:p w14:paraId="4AACEB92" w14:textId="77777777" w:rsidR="008B22F3" w:rsidRDefault="008B22F3" w:rsidP="008B22F3">
      <w:pPr>
        <w:pStyle w:val="Akapitzlist"/>
        <w:numPr>
          <w:ilvl w:val="0"/>
          <w:numId w:val="55"/>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7856CB">
        <w:rPr>
          <w:rFonts w:asciiTheme="majorHAnsi" w:eastAsia="Bookman Old Style" w:hAnsiTheme="majorHAnsi" w:cstheme="majorHAnsi"/>
          <w:i/>
          <w:iCs/>
          <w:color w:val="000000"/>
          <w:kern w:val="2"/>
          <w:sz w:val="18"/>
          <w:szCs w:val="18"/>
          <w14:ligatures w14:val="standardContextual"/>
        </w:rPr>
        <w:t>Kapitał zakładowy może być podwyższany lub obniżany na podstawie uchwały Walnego Zgromadzenia.</w:t>
      </w:r>
    </w:p>
    <w:p w14:paraId="66D6117C" w14:textId="77777777" w:rsidR="008B22F3" w:rsidRDefault="008B22F3" w:rsidP="008B22F3">
      <w:pPr>
        <w:pStyle w:val="Akapitzlist"/>
        <w:numPr>
          <w:ilvl w:val="0"/>
          <w:numId w:val="55"/>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t>Podwyższenie kapitału zakładowego może nastąpić w drodze emisji nowych akcji albo podwyższenia wartości nominalnej dotychczasowych akcji.</w:t>
      </w:r>
    </w:p>
    <w:p w14:paraId="3D69ACE5" w14:textId="77777777" w:rsidR="008B22F3" w:rsidRPr="00DB17C3" w:rsidRDefault="008B22F3" w:rsidP="008B22F3">
      <w:pPr>
        <w:pStyle w:val="Akapitzlist"/>
        <w:numPr>
          <w:ilvl w:val="0"/>
          <w:numId w:val="55"/>
        </w:numPr>
        <w:spacing w:after="120" w:line="240" w:lineRule="auto"/>
        <w:ind w:left="426"/>
        <w:contextualSpacing w:val="0"/>
        <w:jc w:val="both"/>
        <w:rPr>
          <w:rFonts w:asciiTheme="majorHAnsi" w:eastAsia="Bookman Old Style" w:hAnsiTheme="majorHAnsi" w:cstheme="majorHAnsi"/>
          <w:i/>
          <w:iCs/>
          <w:color w:val="000000"/>
          <w:kern w:val="2"/>
          <w:sz w:val="18"/>
          <w:szCs w:val="18"/>
          <w14:ligatures w14:val="standardContextual"/>
        </w:rPr>
      </w:pPr>
      <w:r w:rsidRPr="00DB17C3">
        <w:rPr>
          <w:rFonts w:asciiTheme="majorHAnsi" w:eastAsia="Bookman Old Style" w:hAnsiTheme="majorHAnsi" w:cstheme="majorHAnsi"/>
          <w:i/>
          <w:iCs/>
          <w:color w:val="000000"/>
          <w:kern w:val="2"/>
          <w:sz w:val="18"/>
          <w:szCs w:val="18"/>
          <w14:ligatures w14:val="standardContextual"/>
        </w:rPr>
        <w:lastRenderedPageBreak/>
        <w:t>Walne Zgromadzenie może podwyższyć kapitał zakładowy ze środków Spółki, zgodnie z postanowieniami art. 442 i 443 Kodeksu spółek handlowych oraz innych przepisów prawa znajdujących zastosowanie.</w:t>
      </w:r>
    </w:p>
    <w:p w14:paraId="1A1AA7C8"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13 Organy Spółki </w:t>
      </w:r>
    </w:p>
    <w:p w14:paraId="0BA36E4A" w14:textId="77777777" w:rsidR="008B22F3" w:rsidRPr="007856CB" w:rsidRDefault="008B22F3" w:rsidP="008B22F3">
      <w:pPr>
        <w:tabs>
          <w:tab w:val="left" w:leader="hyphen" w:pos="9072"/>
        </w:tabs>
        <w:spacing w:after="120" w:line="240" w:lineRule="auto"/>
        <w:ind w:left="72" w:right="80" w:hanging="1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Organami Spółki są:</w:t>
      </w:r>
    </w:p>
    <w:p w14:paraId="17CABD11" w14:textId="77777777" w:rsidR="008B22F3" w:rsidRPr="007856CB" w:rsidRDefault="008B22F3" w:rsidP="008B22F3">
      <w:pPr>
        <w:tabs>
          <w:tab w:val="left" w:leader="hyphen" w:pos="9072"/>
        </w:tabs>
        <w:spacing w:after="120" w:line="240" w:lineRule="auto"/>
        <w:ind w:left="628" w:right="80"/>
        <w:jc w:val="both"/>
        <w:rPr>
          <w:rFonts w:asciiTheme="majorHAnsi" w:eastAsia="Bookman Old Style" w:hAnsiTheme="majorHAnsi" w:cstheme="majorHAnsi"/>
          <w:i/>
          <w:iCs/>
          <w:color w:val="000000"/>
          <w:kern w:val="2"/>
          <w:sz w:val="18"/>
          <w:szCs w:val="18"/>
          <w:lang w:eastAsia="pl-PL"/>
          <w14:ligatures w14:val="standardContextual"/>
        </w:rPr>
      </w:pPr>
      <w:r>
        <w:rPr>
          <w:rFonts w:asciiTheme="majorHAnsi" w:eastAsia="Bookman Old Style" w:hAnsiTheme="majorHAnsi" w:cstheme="majorHAnsi"/>
          <w:i/>
          <w:iCs/>
          <w:color w:val="000000"/>
          <w:kern w:val="2"/>
          <w:sz w:val="18"/>
          <w:szCs w:val="18"/>
          <w:lang w:eastAsia="pl-PL"/>
          <w14:ligatures w14:val="standardContextual"/>
        </w:rPr>
        <w:t xml:space="preserve">1) </w:t>
      </w:r>
      <w:r w:rsidRPr="007856CB">
        <w:rPr>
          <w:rFonts w:asciiTheme="majorHAnsi" w:eastAsia="Bookman Old Style" w:hAnsiTheme="majorHAnsi" w:cstheme="majorHAnsi"/>
          <w:i/>
          <w:iCs/>
          <w:color w:val="000000"/>
          <w:kern w:val="2"/>
          <w:sz w:val="18"/>
          <w:szCs w:val="18"/>
          <w:lang w:eastAsia="pl-PL"/>
          <w14:ligatures w14:val="standardContextual"/>
        </w:rPr>
        <w:t>Walne Zgromadzenie,</w:t>
      </w:r>
    </w:p>
    <w:p w14:paraId="57C3E0C8" w14:textId="77777777" w:rsidR="008B22F3" w:rsidRPr="007856CB" w:rsidRDefault="008B22F3" w:rsidP="008B22F3">
      <w:pPr>
        <w:tabs>
          <w:tab w:val="left" w:leader="hyphen" w:pos="9072"/>
        </w:tabs>
        <w:spacing w:after="120" w:line="240" w:lineRule="auto"/>
        <w:ind w:left="628" w:right="80"/>
        <w:jc w:val="both"/>
        <w:rPr>
          <w:rFonts w:asciiTheme="majorHAnsi" w:eastAsia="Bookman Old Style" w:hAnsiTheme="majorHAnsi" w:cstheme="majorHAnsi"/>
          <w:i/>
          <w:iCs/>
          <w:color w:val="000000"/>
          <w:kern w:val="2"/>
          <w:sz w:val="18"/>
          <w:szCs w:val="18"/>
          <w:lang w:eastAsia="pl-PL"/>
          <w14:ligatures w14:val="standardContextual"/>
        </w:rPr>
      </w:pPr>
      <w:r>
        <w:rPr>
          <w:rFonts w:asciiTheme="majorHAnsi" w:eastAsia="Bookman Old Style" w:hAnsiTheme="majorHAnsi" w:cstheme="majorHAnsi"/>
          <w:i/>
          <w:iCs/>
          <w:color w:val="000000"/>
          <w:kern w:val="2"/>
          <w:sz w:val="18"/>
          <w:szCs w:val="18"/>
          <w:lang w:eastAsia="pl-PL"/>
          <w14:ligatures w14:val="standardContextual"/>
        </w:rPr>
        <w:t xml:space="preserve">2) </w:t>
      </w:r>
      <w:r w:rsidRPr="007856CB">
        <w:rPr>
          <w:rFonts w:asciiTheme="majorHAnsi" w:eastAsia="Bookman Old Style" w:hAnsiTheme="majorHAnsi" w:cstheme="majorHAnsi"/>
          <w:i/>
          <w:iCs/>
          <w:color w:val="000000"/>
          <w:kern w:val="2"/>
          <w:sz w:val="18"/>
          <w:szCs w:val="18"/>
          <w:lang w:eastAsia="pl-PL"/>
          <w14:ligatures w14:val="standardContextual"/>
        </w:rPr>
        <w:t>Rada Nadzorcza,</w:t>
      </w:r>
    </w:p>
    <w:p w14:paraId="10934DEC" w14:textId="77777777" w:rsidR="008B22F3" w:rsidRPr="007856CB" w:rsidRDefault="008B22F3" w:rsidP="008B22F3">
      <w:pPr>
        <w:tabs>
          <w:tab w:val="left" w:leader="hyphen" w:pos="9072"/>
        </w:tabs>
        <w:spacing w:after="120" w:line="240" w:lineRule="auto"/>
        <w:ind w:left="628" w:right="80"/>
        <w:jc w:val="both"/>
        <w:rPr>
          <w:rFonts w:asciiTheme="majorHAnsi" w:eastAsia="Bookman Old Style" w:hAnsiTheme="majorHAnsi" w:cstheme="majorHAnsi"/>
          <w:i/>
          <w:iCs/>
          <w:color w:val="000000"/>
          <w:kern w:val="2"/>
          <w:sz w:val="18"/>
          <w:szCs w:val="18"/>
          <w:lang w:eastAsia="pl-PL"/>
          <w14:ligatures w14:val="standardContextual"/>
        </w:rPr>
      </w:pPr>
      <w:r>
        <w:rPr>
          <w:rFonts w:asciiTheme="majorHAnsi" w:eastAsia="Bookman Old Style" w:hAnsiTheme="majorHAnsi" w:cstheme="majorHAnsi"/>
          <w:i/>
          <w:iCs/>
          <w:color w:val="000000"/>
          <w:kern w:val="2"/>
          <w:sz w:val="18"/>
          <w:szCs w:val="18"/>
          <w:lang w:eastAsia="pl-PL"/>
          <w14:ligatures w14:val="standardContextual"/>
        </w:rPr>
        <w:t xml:space="preserve">3) </w:t>
      </w:r>
      <w:r w:rsidRPr="007856CB">
        <w:rPr>
          <w:rFonts w:asciiTheme="majorHAnsi" w:eastAsia="Bookman Old Style" w:hAnsiTheme="majorHAnsi" w:cstheme="majorHAnsi"/>
          <w:i/>
          <w:iCs/>
          <w:color w:val="000000"/>
          <w:kern w:val="2"/>
          <w:sz w:val="18"/>
          <w:szCs w:val="18"/>
          <w:lang w:eastAsia="pl-PL"/>
          <w14:ligatures w14:val="standardContextual"/>
        </w:rPr>
        <w:t>Zarząd.</w:t>
      </w:r>
    </w:p>
    <w:p w14:paraId="7E211479"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14 Walne Zgromadzenie </w:t>
      </w:r>
    </w:p>
    <w:p w14:paraId="561B5992"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Najwyższym organem Spółki jest Walne Zgromadzenie.</w:t>
      </w:r>
    </w:p>
    <w:p w14:paraId="72481A5E"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obraduje jako zwyczajne albo nadzwyczajne i odbywa się w siedzibie Spółki lub w Warszawie lub we Wrocławiu.</w:t>
      </w:r>
    </w:p>
    <w:p w14:paraId="53286A4E"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Zwyczajne Walne Zgromadzenie zwołuje Zarząd w terminie umożliwiającym odbycie Zwyczajnego Walnego Zgromadzenia w terminie określonym przepisami prawa, w szczególności Kodeksu spółek handlowych.</w:t>
      </w:r>
    </w:p>
    <w:p w14:paraId="50830A60"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Nadzwyczajne Walne Zgromadzenie zwoływane jest przez Zarząd z inicjatywy własnej, na żądanie Rady Nadzorczej oraz na wniosek Akcjonariusza lub Akcjonariuszy reprezentujących co najmniej jedną dwudziestą kapitału zakładowego.</w:t>
      </w:r>
    </w:p>
    <w:p w14:paraId="4E31EF1F"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Akcjonariusze reprezentujący co najmniej połowę kapitału zakładowego lub co najmniej połowę ogółu głosów w Spółce mogą zwołać nadzwyczajne Walne Zgromadzenie. Akcjonariusze wyznaczają przewodniczącego tego</w:t>
      </w:r>
      <w:r>
        <w:rPr>
          <w:rFonts w:asciiTheme="majorHAnsi" w:eastAsia="Bookman Old Style" w:hAnsiTheme="majorHAnsi" w:cstheme="majorHAnsi"/>
          <w:i/>
          <w:iCs/>
          <w:color w:val="000000"/>
          <w:kern w:val="2"/>
          <w:sz w:val="18"/>
          <w:szCs w:val="18"/>
          <w:lang w:eastAsia="pl-PL"/>
          <w14:ligatures w14:val="standardContextual"/>
        </w:rPr>
        <w:t xml:space="preserve"> </w:t>
      </w:r>
      <w:r w:rsidRPr="007856CB">
        <w:rPr>
          <w:rFonts w:asciiTheme="majorHAnsi" w:eastAsia="Bookman Old Style" w:hAnsiTheme="majorHAnsi" w:cstheme="majorHAnsi"/>
          <w:i/>
          <w:iCs/>
          <w:color w:val="000000"/>
          <w:kern w:val="2"/>
          <w:sz w:val="18"/>
          <w:szCs w:val="18"/>
          <w:lang w:eastAsia="pl-PL"/>
          <w14:ligatures w14:val="standardContextual"/>
        </w:rPr>
        <w:t>Nadzwyczajnego Walnego Zgromadzenia.</w:t>
      </w:r>
    </w:p>
    <w:p w14:paraId="6CAF67D4"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Zwołanie Nadzwyczajnego Walnego Zgromadzenia na wniosek Rady Nadzorczej lub akcjonariuszy powinno nastąpić w ciągu dwóch tygodni od daty zgłoszenia wniosku.</w:t>
      </w:r>
    </w:p>
    <w:p w14:paraId="202F1B9D"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zwołać Zwyczajne Walne Zgromadzenie, jeżeli Zarząd nie zwoła go w terminie oraz Nadzwyczajne Walne Zgromadzenie, jeżeli zwołanie go uzna za wskazane.</w:t>
      </w:r>
    </w:p>
    <w:p w14:paraId="4A432994"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może uchwalić Regulamin Walnego Zgromadzenia, który określi szczegółowo tryb funkcjonowania Walnego Zgromadzenia.</w:t>
      </w:r>
    </w:p>
    <w:p w14:paraId="0D9F00EA"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może podejmować uchwały jedynie w sprawach objętych porządkiem obrad. Podjęcie uchwały w sprawie nieobjętej porządkiem obrad jest dopuszczalne wyłącznie, gdy cały kapitał zakładowy jest reprezentowany na Walnym Zgromadzeniu, a nikt z obecnych nie zgłosił sprzeciwu dotyczącego podjęcia takiej uchwały.</w:t>
      </w:r>
    </w:p>
    <w:p w14:paraId="27F2C4EF"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oraz akcjonariusze reprezentujący co najmniej 1/20 (jedną dwudziestą) kapitału zakładowego mogą żądać umieszczenia poszczególnych spraw w porządku obrad najbliższego Walnego Zgromadzenia.</w:t>
      </w:r>
    </w:p>
    <w:p w14:paraId="2779D9F2"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Uchwały zapadają bezwzględną większością głosów, chyba że Statut lub Kodeks spółek handlowych przewidują wymogi surowsze. Z zastrzeżeniem wyjątków prawem przewidzianych, Walne Zgromadzenie może podejmować uchwały, jeżeli na Walnym Zgromadzeniu reprezentowane jest przynajmniej 5% kapitału zakładowego.</w:t>
      </w:r>
    </w:p>
    <w:p w14:paraId="08AAD995"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otwiera Przewodniczący Rady Nadzorczej lub wyznaczony przez Przewodniczącego Rady Nadzorczej Członek Rady Nadzorczej. W razie nieobecności tych osób, Walne Zgromadzenie otwiera Prezes Zarządu albo osoba przez niego wskazana. Następnie spośród osób uprawnionych do uczestnictwa w Walnym Zgromadzeniu wybiera się</w:t>
      </w:r>
      <w:r>
        <w:rPr>
          <w:rFonts w:asciiTheme="majorHAnsi" w:eastAsia="Bookman Old Style" w:hAnsiTheme="majorHAnsi" w:cstheme="majorHAnsi"/>
          <w:i/>
          <w:iCs/>
          <w:color w:val="000000"/>
          <w:kern w:val="2"/>
          <w:sz w:val="18"/>
          <w:szCs w:val="18"/>
          <w:lang w:eastAsia="pl-PL"/>
          <w14:ligatures w14:val="standardContextual"/>
        </w:rPr>
        <w:t xml:space="preserve"> </w:t>
      </w:r>
      <w:r w:rsidRPr="007856CB">
        <w:rPr>
          <w:rFonts w:asciiTheme="majorHAnsi" w:eastAsia="Bookman Old Style" w:hAnsiTheme="majorHAnsi" w:cstheme="majorHAnsi"/>
          <w:i/>
          <w:iCs/>
          <w:color w:val="000000"/>
          <w:kern w:val="2"/>
          <w:sz w:val="18"/>
          <w:szCs w:val="18"/>
          <w:lang w:eastAsia="pl-PL"/>
          <w14:ligatures w14:val="standardContextual"/>
        </w:rPr>
        <w:t>Przewodniczącego Walnego Zgromadzenia.</w:t>
      </w:r>
    </w:p>
    <w:p w14:paraId="1D69D33E"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Akcjonariusz może uczestniczyć w Walnym Zgromadzeniu oraz wykonywać prawo głosu osobiście lub przez pełnomocnika.</w:t>
      </w:r>
    </w:p>
    <w:p w14:paraId="7FD9A825"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Pełnomocnik może reprezentować więcej niż jednego Akcjonariusza i głosować odmiennie z akcji każdego Akcjonariusza.</w:t>
      </w:r>
    </w:p>
    <w:p w14:paraId="5C147D3D"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Do kompetencji Walnego Zgromadzenia, oprócz innych spraw zastrzeżonych w obowiązujących przepisach prawa i postanowieniach Statutu, należy:</w:t>
      </w:r>
    </w:p>
    <w:p w14:paraId="19157949"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rozpatrywanie i zatwierdzanie sprawozdania finansowego Spółki, a także rozpatrywanie i zatwierdzanie sprawozdania z działalności Zarządu za poszczególne lata obrotowe;</w:t>
      </w:r>
    </w:p>
    <w:p w14:paraId="67DA9D1D"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podejmowanie uchwał o podziale zysku lub o sposobie pokrycia strat;</w:t>
      </w:r>
    </w:p>
    <w:p w14:paraId="48CA5932"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udzielanie absolutorium członkom organów Spółki z wykonania przez nich obowiązków;</w:t>
      </w:r>
    </w:p>
    <w:p w14:paraId="15CCB014"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 powoływanie i odwoływanie członków Rady Nadzorczej;</w:t>
      </w:r>
    </w:p>
    <w:p w14:paraId="688BABBB"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zmiana Statutu Spółki;</w:t>
      </w:r>
    </w:p>
    <w:p w14:paraId="5148152D"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połączenie, podział lub przekształcenie Spółki;</w:t>
      </w:r>
    </w:p>
    <w:p w14:paraId="55613CEF"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rozwiązanie i likwidacja Spółki oraz ustalanie zasad podziału majątku</w:t>
      </w:r>
      <w:r>
        <w:rPr>
          <w:rFonts w:asciiTheme="majorHAnsi" w:eastAsia="Bookman Old Style" w:hAnsiTheme="majorHAnsi" w:cstheme="majorHAnsi"/>
          <w:i/>
          <w:iCs/>
          <w:color w:val="000000"/>
          <w:kern w:val="2"/>
          <w:sz w:val="18"/>
          <w:szCs w:val="18"/>
          <w:lang w:eastAsia="pl-PL"/>
          <w14:ligatures w14:val="standardContextual"/>
        </w:rPr>
        <w:t xml:space="preserve"> </w:t>
      </w:r>
      <w:r w:rsidRPr="007856CB">
        <w:rPr>
          <w:rFonts w:asciiTheme="majorHAnsi" w:eastAsia="Bookman Old Style" w:hAnsiTheme="majorHAnsi" w:cstheme="majorHAnsi"/>
          <w:i/>
          <w:iCs/>
          <w:color w:val="000000"/>
          <w:kern w:val="2"/>
          <w:sz w:val="18"/>
          <w:szCs w:val="18"/>
          <w:lang w:eastAsia="pl-PL"/>
          <w14:ligatures w14:val="standardContextual"/>
        </w:rPr>
        <w:t>Spółki;</w:t>
      </w:r>
    </w:p>
    <w:p w14:paraId="0E6B71A5"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emisja obligacji zamiennych na akcje Spółki (obligacje zamienne) oraz obligacji uprawniających obligatariusza do subskrybowania akcji Spółki z pierwszeństwem przed innymi akcjonariuszami Spółki (obligacje z prawem pierwszeństwa) lub obligacji przyznających obligatariuszom prawo do udziału w zysku Spółki (obligacje partycypacyjne), jak również warrantów subskrypcyjnych, o których mowa w art. 453 § 2 Kodeksu spółek handlowych;</w:t>
      </w:r>
    </w:p>
    <w:p w14:paraId="4AF39218"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wszelkie postanowienia dotyczące roszczeń o naprawienie szkody wyrządzonej przy zawiązywaniu Spółki lub sprawowaniu zarządu lub nadzoru;</w:t>
      </w:r>
    </w:p>
    <w:p w14:paraId="7D3883AC"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decydowanie o sposobie wykorzystania kapitału zapasowego oraz decydowanie o utworzeniu i przeznaczeniu kapitałów rezerwowych i innych kapitałów oraz funduszy, których utworzenie jest dopuszczalne na podstawie powszechnie obowiązujących przepisów prawa;</w:t>
      </w:r>
    </w:p>
    <w:p w14:paraId="7C205F55"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zbycie i wydzierżawienie przedsiębiorstwa lub jego zorganizowanej części oraz ustanowienie na nich ograniczonego prawa rzeczowego;</w:t>
      </w:r>
    </w:p>
    <w:p w14:paraId="00F637D8"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rozpatrywanie i rozstrzyganie wniosków przedstawionych przez Radę Nadzorczą oraz Zarząd;</w:t>
      </w:r>
    </w:p>
    <w:p w14:paraId="00C9059B"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nabycie własnych akcji w przypadkach określonych w Kodeksie spółek handlowych oraz upoważnienie do ich nabywania w przypadkach określonych w Kodeksie spółek handlowych;</w:t>
      </w:r>
    </w:p>
    <w:p w14:paraId="3AE8BE43"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zawarcie umowy, o zarządzanie spółką zależną;</w:t>
      </w:r>
    </w:p>
    <w:p w14:paraId="0DD7E319"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uchwalanie polityki wynagrodzeń Członków Zarządu i Rady Nadzorczej;</w:t>
      </w:r>
    </w:p>
    <w:p w14:paraId="2E2FFDA4"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ustalanie wysokości wynagrodzenia Członków Rady Nadzorczej oraz Komitetu Audytu;</w:t>
      </w:r>
    </w:p>
    <w:p w14:paraId="022241F7"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zawarcie umowy kredytu, pożyczki, poręczenia lub innej podobnej umowy z członkiem Zarządu, Rady Nadzorczej, prokurentem, likwidatorem Spółki albo na rzecz którejkolwiek z tych osób;</w:t>
      </w:r>
    </w:p>
    <w:p w14:paraId="77495BD9" w14:textId="77777777" w:rsidR="008B22F3" w:rsidRPr="007856CB" w:rsidRDefault="008B22F3" w:rsidP="008B22F3">
      <w:pPr>
        <w:numPr>
          <w:ilvl w:val="1"/>
          <w:numId w:val="18"/>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finansowanie nabycia lub objęcia własnych akcji w przypadku określonym w art. 345 Kodeksu spółek handlowych.</w:t>
      </w:r>
    </w:p>
    <w:p w14:paraId="545579BC"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Nabycie i zbycie prawa własności nieruchomości oraz nabycie i zbycie prawa użytkowania wieczystego nieruchomości nie wymaga uchwały Walnego Zgromadzenia Akcjonariuszy.</w:t>
      </w:r>
    </w:p>
    <w:p w14:paraId="6E2C1369" w14:textId="77777777" w:rsidR="008B22F3" w:rsidRPr="007856CB" w:rsidRDefault="008B22F3" w:rsidP="008B22F3">
      <w:pPr>
        <w:numPr>
          <w:ilvl w:val="0"/>
          <w:numId w:val="19"/>
        </w:numPr>
        <w:tabs>
          <w:tab w:val="left" w:leader="hyphen" w:pos="9072"/>
        </w:tabs>
        <w:spacing w:after="120" w:line="240" w:lineRule="auto"/>
        <w:ind w:left="426"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może zostać odwołane, w szczególności, jeżeli jego odbycie napotyka na nadzwyczajne przeszkody (siła wyższa) lub jest oczywiście bezprzedmiotowe. Dopuszczalna jest również zmiana terminu Walnego Zgromadzenia. Odwołanie oraz zmiana terminu Walnego Zgromadzenia jest dokonywana przez podmiot, który zwołał to Walne Zgromadzenie w sposób przewidziany dla jego zwołania. Odwołanie Walnego Zgromadzenia, w którego porządku obrad na wniosek uprawnionych podmiotów umieszczono określone sprawy lub które zwołane zostało na taki wniosek możliwe jest tylko za zgodą wnioskodawców.</w:t>
      </w:r>
    </w:p>
    <w:p w14:paraId="2BF1957D" w14:textId="77777777" w:rsidR="008B22F3" w:rsidRPr="007856CB" w:rsidRDefault="008B22F3" w:rsidP="008B22F3">
      <w:pPr>
        <w:keepNext/>
        <w:tabs>
          <w:tab w:val="left" w:leader="hyphen" w:pos="9072"/>
        </w:tabs>
        <w:spacing w:after="120" w:line="240" w:lineRule="auto"/>
        <w:ind w:left="426" w:right="79" w:hanging="437"/>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15 Rada Nadzorcza </w:t>
      </w:r>
    </w:p>
    <w:p w14:paraId="6E009714"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sprawuje stały nadzór nad działalnością Spółki we wszystkich dziedzinach jej działalności.</w:t>
      </w:r>
    </w:p>
    <w:p w14:paraId="27B0BCB9"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 zastrzeżeniem postanowień ust. 4, Rada Nadzorcza Spółki składa się z od 5 (pięciu) do 7 (siedmiu) członków powołanych przez Walne Zgromadzenia na okres wspólnej 5 (pięcioletniej) kadencji.</w:t>
      </w:r>
    </w:p>
    <w:p w14:paraId="4244D2C2"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Od dnia podlegania przepisom ustawy z dnia 11 maja 2017 r. o biegłych rewidentach, firmach audytorskich oraz nadzorze publicznym („</w:t>
      </w:r>
      <w:r w:rsidRPr="007856CB">
        <w:rPr>
          <w:rFonts w:asciiTheme="majorHAnsi" w:eastAsia="Bookman Old Style" w:hAnsiTheme="majorHAnsi" w:cstheme="majorHAnsi"/>
          <w:b/>
          <w:i/>
          <w:iCs/>
          <w:color w:val="000000"/>
          <w:kern w:val="2"/>
          <w:sz w:val="18"/>
          <w:szCs w:val="18"/>
          <w:lang w:eastAsia="pl-PL"/>
          <w14:ligatures w14:val="standardContextual"/>
        </w:rPr>
        <w:t>Ustawa o biegłych rewidentach</w:t>
      </w:r>
      <w:r w:rsidRPr="007856CB">
        <w:rPr>
          <w:rFonts w:asciiTheme="majorHAnsi" w:eastAsia="Bookman Old Style" w:hAnsiTheme="majorHAnsi" w:cstheme="majorHAnsi"/>
          <w:i/>
          <w:iCs/>
          <w:color w:val="000000"/>
          <w:kern w:val="2"/>
          <w:sz w:val="18"/>
          <w:szCs w:val="18"/>
          <w:lang w:eastAsia="pl-PL"/>
          <w14:ligatures w14:val="standardContextual"/>
        </w:rPr>
        <w:t>”) w zakresie funkcjonowania komitetu audytu, co najmniej 2 (dwóch) członków Rady Nadzorczej powinno spełniać kryteria niezależności określone w Ustawie o biegłych rewidentach, a od dnia dopuszczenia co najmniej 1 (jednej) akcji spółki do obrotu na rynku regulowanym prowadzonym przez Giełdę Papierów Wartościowych w Warszawie S.A., co najmniej 2 (dwóch) członków Rady Nadzorczej powinno dodatkowo spełniać kryteria niezależności wynikające z zasad ładu korporacyjnego obowiązujących na tym rynku regulowanym („</w:t>
      </w:r>
      <w:r w:rsidRPr="007856CB">
        <w:rPr>
          <w:rFonts w:asciiTheme="majorHAnsi" w:eastAsia="Bookman Old Style" w:hAnsiTheme="majorHAnsi" w:cstheme="majorHAnsi"/>
          <w:b/>
          <w:i/>
          <w:iCs/>
          <w:color w:val="000000"/>
          <w:kern w:val="2"/>
          <w:sz w:val="18"/>
          <w:szCs w:val="18"/>
          <w:lang w:eastAsia="pl-PL"/>
          <w14:ligatures w14:val="standardContextual"/>
        </w:rPr>
        <w:t>Niezależny Członek Rady Nadzorczej</w:t>
      </w:r>
      <w:r w:rsidRPr="007856CB">
        <w:rPr>
          <w:rFonts w:asciiTheme="majorHAnsi" w:eastAsia="Bookman Old Style" w:hAnsiTheme="majorHAnsi" w:cstheme="majorHAnsi"/>
          <w:i/>
          <w:iCs/>
          <w:color w:val="000000"/>
          <w:kern w:val="2"/>
          <w:sz w:val="18"/>
          <w:szCs w:val="18"/>
          <w:lang w:eastAsia="pl-PL"/>
          <w14:ligatures w14:val="standardContextual"/>
        </w:rPr>
        <w:t>”).</w:t>
      </w:r>
    </w:p>
    <w:p w14:paraId="6556363D"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 zastrzeżeniem postanowień ust. 5, liczbę członków Rady Nadzorczej określa Walne Zgromadzenie.</w:t>
      </w:r>
    </w:p>
    <w:p w14:paraId="376BB33A"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gdy wybór członków Rady Nadzorczej następuje przez Walne Zgromadzenie w drodze głosowania oddzielnymi grupami, wówczas Rada Nadzorcza składać się będzie z 5 (pięciu) członków powołanych na okres wspólnej 5 (pięcioletniej) kadencji.</w:t>
      </w:r>
    </w:p>
    <w:p w14:paraId="39C79595"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Członkowie Rady Nadzorczej na pierwszym posiedzeniu wybierają spośród swego grona Przewodniczącego Rady Nadzorczej oraz Wiceprzewodniczącego Rady Nadzorczej, jeżeli nie dokonało tego Walne Zgromadzenie.</w:t>
      </w:r>
    </w:p>
    <w:p w14:paraId="38C242FB"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śmierci lub rezygnacji członka Rady Nadzorczej i zmniejszenia się jej składu poniżej ustalonej liczby członków (przy czym każdorazowo poniżej pięciu członków), pozostali członkowie Rady Nadzorczej mogą w drodze pisemnego oświadczenia wszystkich członków Rady Nadzorczej powołać nowego członka Rady Nadzorczej w celu uzupełnienia Rady Nadzorczej do ustalonego (co najmniej pięcioosobowego) składu, który będzie pełnił swoją funkcję do czasu zatwierdzenia ich powołania przez najbliższe Walne Zgromadzenie albo wyboru przez Walne Zgromadzenie nowego członka Rady Nadzorczej w miejsce dokooptowanego. W wypadku wygaśnięcia mandatu członka Rady Nadzorczej wchodzącego w skład komitetu audytu, dokooptowany członek Rady Nadzorczej powinien spełniać analogiczne (tj. te, które spełniał członek Rady Nadzorczej, którego wygaśnięcie mandatu jest podstawą kooptacji) kryteria, o których mowa w Ustawie o biegłych rewidentach. Członkowie Rady Nadzorczej mogą dokonać kooptacji w przypadku, gdy liczba członków Rady Nadzorczej wynosi co najmniej 2 (dwóch).</w:t>
      </w:r>
    </w:p>
    <w:p w14:paraId="0F906676"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w której skład w wyniku wygaśnięcia mandatów niektórych członków Rady Nadzorczej wchodzi mniej członków niż liczba członków określonych przez Walne Zgromadzenie zgodnie z ust. 3 powyżej, jednakże co najmniej 5 (pięciu), jest zdolna do podejmowania ważnych uchwał.</w:t>
      </w:r>
    </w:p>
    <w:p w14:paraId="31B77716"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Niespełnienie kryteriów niezależności, o których mowa w ust. 3 powyżej, przez któregokolwiek z członków Rady Nadzorczej, bądź utrata przez niego statusu Niezależnego Członka Rady Nadzorczej w trakcie trwania kadencji, nie powoduje wygaśnięcia jego mandatu i nie ma wpływu na zdolność Rady Nadzorczej do wykonywania kompetencji przewidzianych w Kodeksie spółek handlowych i w niniejszym Statucie.</w:t>
      </w:r>
    </w:p>
    <w:p w14:paraId="66606600"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Członkowie Zarządu Spółki, prokurenci, likwidatorzy oraz kierownicy oddziałów lub zakładów oraz zatrudniony w Spółce główny księgowy, radca prawny lub adwokat lub pracownicy Spółki którzy zajmują stanowiska bezpośrednio podlegające członkowi Zarządu Spółki, nie mogą być jednocześnie członkami Rady Nadzorczej.</w:t>
      </w:r>
    </w:p>
    <w:p w14:paraId="1B35F421"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uchwalić Regulamin Rady Nadzorczej, który szczegółowo określi tryb jej działania.</w:t>
      </w:r>
    </w:p>
    <w:p w14:paraId="7FE35F90"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Posiedzenia i głosowania Rady Nadzorczej zwołuje Przewodniczący lub Wiceprzewodniczący, przy czym posiedzenia Rady Nadzorczej odbywają się nie rzadziej niż raz w każdym kwartale roku obrotowego.</w:t>
      </w:r>
    </w:p>
    <w:p w14:paraId="50D625C0"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Zawiadomienie dotyczące kolejnego posiedzenia Rady Nadzorczej nie jest wymagane jeżeli na posiedzeniu Rady Nadzorczej są obecni wszyscy Członkowie Rady Nadzorczej i wszyscy Członkowie Rady Nadzorczej wyrażą zgodę na zwołanie kolejnego posiedzenia, ustalając jednocześnie jego porządek obrad i termin.</w:t>
      </w:r>
    </w:p>
    <w:p w14:paraId="42731C21"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Posiedzenie Rady Nadzorczej może odbyć się bez formalnego zwołania, w przypadku, gdy na posiedzeniu Rady są obecni wszyscy Członkowie Rady Nadzorczej i żaden z Członków Rady nie wniósł sprzeciwu ani co do odbycia posiedzenia, ani spraw, które mają być na tym posiedzeniu rozstrzygnięte przez Radę Nadzorczą.</w:t>
      </w:r>
    </w:p>
    <w:p w14:paraId="550AEE9C"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Podczas posiedzenia Rada Nadzorcza może podejmować uchwały również w sprawach nieobjętych proponowanym porządkiem obrad, jeżeli żaden z członków Rady Nadzorczej biorących udział w posiedzeniu się temu nie sprzeciwi.</w:t>
      </w:r>
    </w:p>
    <w:p w14:paraId="1F70C199"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Uchwały Rady Nadzorczej zapadają zwykłą większością głosów obecnych. W razie równości głosów rozstrzyga głos Przewodniczącego Rady Nadzorczej.</w:t>
      </w:r>
    </w:p>
    <w:p w14:paraId="43BFC5C7"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Uchwały Rady Nadzorczej mogą być podjęte, jeżeli wszyscy jej Członkowie zostali prawidłowo powiadomieni o terminie i miejscu posiedzenia osobiście, pisemnie (kurierem lub przesyłką poleconą), lub drogą elektroniczną.</w:t>
      </w:r>
    </w:p>
    <w:p w14:paraId="2F1329CD"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podejmować uchwały na posiedzeniu, a ponadto członkowie Rady Nadzorczej mogą brać udział w podejmowaniu uchwały, oddając swój głos na piśmie za pośrednictwem innego członka Rady Nadzorczej. Oddanie głosu na piśmie nie może dotyczyć spraw wprowadzonych do porządku obrad na posiedzeniu Rady Nadzorczej.</w:t>
      </w:r>
    </w:p>
    <w:p w14:paraId="0D377465"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podejmować uchwały w trybie pisemnym. Uchwała podejmowana w powyższy sposób jest ważna wyłącznie, gdy wszyscy członkowie Rady Nadzorczej zostali powiadomieni o treści projektu uchwały.</w:t>
      </w:r>
    </w:p>
    <w:p w14:paraId="2378EEC8"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Rada Nadzorcza może podejmować uchwały przy wykorzystaniu środków bezpośredniego porozumiewania się na odległość. Uchwała podejmowana w powyższy sposób jest ważna wyłącznie, gdy wszyscy członkowie Rady Nadzorczej zostali powiadomieni o treści projektu uchwały.</w:t>
      </w:r>
    </w:p>
    <w:p w14:paraId="716D28F3"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posiedzeniu Rady Nadzorczej można uczestniczyć również przy wykorzystaniu środków bezpośredniego porozumiewania się na odległość.</w:t>
      </w:r>
    </w:p>
    <w:p w14:paraId="03C8D842"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delegować swych członków do indywidualnego wykonywania czynności nadzorczych.</w:t>
      </w:r>
    </w:p>
    <w:p w14:paraId="4B1D17B2"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Członkowie Rady Nadzorczej delegowani do indywidualnego wykonywania czynności nadzorczych mają prawo uczestniczenia w posiedzeniach Zarządu Spółki, a Zarząd ma obowiązek zawiadomić ich z wyprzedzeniem o każdym posiedzeniu.</w:t>
      </w:r>
    </w:p>
    <w:p w14:paraId="3622D896" w14:textId="77777777" w:rsidR="008B22F3" w:rsidRPr="007856CB" w:rsidRDefault="008B22F3" w:rsidP="008B22F3">
      <w:pPr>
        <w:numPr>
          <w:ilvl w:val="0"/>
          <w:numId w:val="20"/>
        </w:numPr>
        <w:tabs>
          <w:tab w:val="left" w:leader="hyphen" w:pos="9072"/>
        </w:tabs>
        <w:spacing w:after="120" w:line="240" w:lineRule="auto"/>
        <w:ind w:left="426" w:right="80" w:hanging="437"/>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zobowiązany jest uzyskać uprzednią zgodę Rady Nadzorczej na dokonanie następujących czynności:</w:t>
      </w:r>
    </w:p>
    <w:p w14:paraId="71DBD2EC"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nabycie innych niż akcje papierów wartościowych w obrocie publicznym i niepublicznym;</w:t>
      </w:r>
    </w:p>
    <w:p w14:paraId="19379F2C"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nabycie i zbycie prawa własności nieruchomości, nabycie i zbycie prawa użytkowania wieczystego nieruchomości;</w:t>
      </w:r>
    </w:p>
    <w:p w14:paraId="05E22325"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dokonanie przez Zarząd wypłaty Akcjonariuszom, na zasadach przewidzianych w Kodeksie spółek handlowych, zaliczek na poczet przewidywanej dywidendy na koniec roku obrotowego;</w:t>
      </w:r>
    </w:p>
    <w:p w14:paraId="4F6AF2D8"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zezwolenie na udział pracowników w zyskach oraz przydzielanie specjalnych uprawnień rentowych i emerytalnych;</w:t>
      </w:r>
    </w:p>
    <w:p w14:paraId="54F32F58"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obejmowanie, nabywanie, zbywanie i obciążanie przez Spółkę udziałów albo akcji w innych spółkach, przystępowanie lub występowanie z innych spółek lub podmiotów, lub wspólnych przedsięwzięć oraz nabywanie przedsiębiorstw lub zorganizowanych części przedsiębiorstw innych podmiotów, jeśli transakcja taka nie została przewidziana w zatwierdzonym budżecie rocznym;</w:t>
      </w:r>
    </w:p>
    <w:p w14:paraId="106C2BDF"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zaciągnięcie przez Spółkę wszelkich zobowiązań o wartości przekraczającej łącznie 500.000,00 zł (pięćset tysięcy złotych) netto (bez podatku VAT) w jednym roku obrotowym, w drodze jednej lub wielu powiązanych ze sobą czynności;</w:t>
      </w:r>
    </w:p>
    <w:p w14:paraId="20DBC8E1" w14:textId="77777777" w:rsidR="008B22F3" w:rsidRPr="007856CB" w:rsidRDefault="008B22F3" w:rsidP="008B22F3">
      <w:pPr>
        <w:numPr>
          <w:ilvl w:val="1"/>
          <w:numId w:val="21"/>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zawarcie przez Spółkę istotnej transakcji z podmiotem powiązanym w rozumieniu ustawy z dnia 29 lipca 2005 r. o ofercie publicznej i warunkach wprowadzania instrumentów finansowych do zorganizowanego systemu obrotu oraz o spółkach publicznych, o ile uzyskanie takiej zgody Rady Nadzorczej jest wymagane zgodnie z przepisami ww. ustawy.</w:t>
      </w:r>
    </w:p>
    <w:p w14:paraId="2AB6226D" w14:textId="77777777" w:rsidR="008B22F3" w:rsidRPr="007856CB" w:rsidRDefault="008B22F3" w:rsidP="008B22F3">
      <w:pPr>
        <w:numPr>
          <w:ilvl w:val="0"/>
          <w:numId w:val="20"/>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Do szczególnych obowiązków Rady Nadzorczej należy również:</w:t>
      </w:r>
    </w:p>
    <w:p w14:paraId="28537C67" w14:textId="77777777" w:rsidR="008B22F3" w:rsidRPr="007856CB" w:rsidRDefault="008B22F3" w:rsidP="008B22F3">
      <w:pPr>
        <w:numPr>
          <w:ilvl w:val="0"/>
          <w:numId w:val="2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zawieszanie z ważnych powodów w czynnościach poszczególnych lub wszystkich członków Zarządu oraz delegowanie członków Rady Nadzorczej, na okres nie dłuższy niż 3 (trzy) miesiące do czasowego wykonywania czynności członków Zarządu, którzy zostali odwołani, złożyli rezygnację albo z innych przyczyn nie mogą sprawować swoich czynności;</w:t>
      </w:r>
    </w:p>
    <w:p w14:paraId="25D835DD" w14:textId="77777777" w:rsidR="008B22F3" w:rsidRPr="007856CB" w:rsidRDefault="008B22F3" w:rsidP="008B22F3">
      <w:pPr>
        <w:numPr>
          <w:ilvl w:val="0"/>
          <w:numId w:val="2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dokonywanie oceny sprawozdania Zarządu z działalności Spółki oraz sprawozdania finansowego za ubiegły rok obrotowy w zakresie ich zgodności z księgami i dokumentami, jak i ze stanem faktycznym, a nadto dokonywanie oceny wniosków Zarządu dotyczących podziału zysku oraz pokrycia straty;</w:t>
      </w:r>
    </w:p>
    <w:p w14:paraId="72972CD5" w14:textId="77777777" w:rsidR="008B22F3" w:rsidRPr="007856CB" w:rsidRDefault="008B22F3" w:rsidP="008B22F3">
      <w:pPr>
        <w:numPr>
          <w:ilvl w:val="0"/>
          <w:numId w:val="2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składanie Walnemu Zgromadzeniu sprawozdań z czynności, o których mowa w powyższym pkt (b)oraz składanie Walnemu Zgromadzeniu corocznego sprawozdania o wynagrodzeniach;</w:t>
      </w:r>
    </w:p>
    <w:p w14:paraId="2C9FE782" w14:textId="77777777" w:rsidR="008B22F3" w:rsidRPr="007856CB" w:rsidRDefault="008B22F3" w:rsidP="008B22F3">
      <w:pPr>
        <w:numPr>
          <w:ilvl w:val="0"/>
          <w:numId w:val="2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ustalanie (w oparciu o rekomendację Zarządu) listy osób uprawnionych do udziału w programach motywacyjnych opartych o akcje lub warranty subskrypcyjne;</w:t>
      </w:r>
    </w:p>
    <w:p w14:paraId="0D813115" w14:textId="77777777" w:rsidR="008B22F3" w:rsidRPr="007856CB" w:rsidRDefault="008B22F3" w:rsidP="008B22F3">
      <w:pPr>
        <w:numPr>
          <w:ilvl w:val="0"/>
          <w:numId w:val="2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wybór oraz zmiana podmiotu uprawnionego do badania sprawozdań finansowych Spółki.</w:t>
      </w:r>
    </w:p>
    <w:p w14:paraId="3044B7B7" w14:textId="77777777" w:rsidR="008B22F3" w:rsidRPr="007856CB" w:rsidRDefault="008B22F3" w:rsidP="008B22F3">
      <w:pPr>
        <w:numPr>
          <w:ilvl w:val="0"/>
          <w:numId w:val="20"/>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wyrażać opinie we wszystkich sprawach Spółki oraz występować do Zarządu z wnioskami i inicjatywami.</w:t>
      </w:r>
    </w:p>
    <w:p w14:paraId="5748AD16" w14:textId="77777777" w:rsidR="008B22F3" w:rsidRPr="007856CB" w:rsidRDefault="008B22F3" w:rsidP="008B22F3">
      <w:pPr>
        <w:numPr>
          <w:ilvl w:val="0"/>
          <w:numId w:val="20"/>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ma obowiązek powiadomić Radę Nadzorczą o zajętym stanowisku w sprawie opinii, wniosku lub inicjatywy Rady Nadzorczej nie później niż w ciągu 14 (czternastu) dni od daty złożenia przez Radę Nadzorczą takiego wniosku, opinii lub zgłoszenia inicjatywy.</w:t>
      </w:r>
    </w:p>
    <w:p w14:paraId="1A251B62" w14:textId="77777777" w:rsidR="008B22F3" w:rsidRPr="007856CB" w:rsidRDefault="008B22F3" w:rsidP="008B22F3">
      <w:pPr>
        <w:numPr>
          <w:ilvl w:val="0"/>
          <w:numId w:val="20"/>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jest uprawniona, przy wykonywaniu prawa i czynności nadzoru, do żądania i otrzymania wszelkich dokumentów Spółki wraz z ich kopiami i odpisami. Żądane dokumenty lub informacje powinny być udostępniane Radzie Nadzorczej niezwłocznie, nie później jednak niż w terminie 14 (czternastu) dni od dnia zgłoszenia takiego żądania przez Radę Nadzorczą. Zarząd zobowiązany jest współpracować oraz zapewnić współpracę pracowników i współpracowników Spółki z członkami Rady Nadzorczej wykonującymi czynności nadzorcze, a w szczególności zobowiązany jest:</w:t>
      </w:r>
    </w:p>
    <w:p w14:paraId="1C9831C8" w14:textId="77777777" w:rsidR="008B22F3" w:rsidRPr="007856CB" w:rsidRDefault="008B22F3" w:rsidP="008B22F3">
      <w:pPr>
        <w:numPr>
          <w:ilvl w:val="1"/>
          <w:numId w:val="23"/>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zapewnić w siedzibie Spółki stałą dostępność wszelkich dokumentów Spółki i możliwość wykonywania uprawnień nadzorczych określonych w niniejszym Statucie;</w:t>
      </w:r>
    </w:p>
    <w:p w14:paraId="15BA7B75" w14:textId="77777777" w:rsidR="008B22F3" w:rsidRPr="007856CB" w:rsidRDefault="008B22F3" w:rsidP="008B22F3">
      <w:pPr>
        <w:numPr>
          <w:ilvl w:val="1"/>
          <w:numId w:val="23"/>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zapewnić wykonywanie na koszt Spółki czynności sekretarskich, wykonanie kserokopii oraz wykonanie odpisów dokumentacji dla Rady Nadzorczej i jej członków;</w:t>
      </w:r>
    </w:p>
    <w:p w14:paraId="2E1EFB04" w14:textId="77777777" w:rsidR="008B22F3" w:rsidRPr="007856CB" w:rsidRDefault="008B22F3" w:rsidP="008B22F3">
      <w:pPr>
        <w:numPr>
          <w:ilvl w:val="1"/>
          <w:numId w:val="23"/>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współpracować oraz zapewnić dla wykonywania czynności nadzoru przez Radę Nadzorczą działającą poprzez członków Rady Nadzorczej dostępność wszelkich obiektów i pomieszczeń oraz zakładów i biur Spółki oraz możliwość kontaktu z wszelkimi pracownikami oraz współpracownikami Spółki;</w:t>
      </w:r>
    </w:p>
    <w:p w14:paraId="7590952D" w14:textId="77777777" w:rsidR="008B22F3" w:rsidRPr="007856CB" w:rsidRDefault="008B22F3" w:rsidP="008B22F3">
      <w:pPr>
        <w:numPr>
          <w:ilvl w:val="1"/>
          <w:numId w:val="23"/>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zapewnić w zakresie dozwolonym przez przepisy prawa oraz na mocy stosownych porozumień ze spółkami zależnymi możliwość dostępu i uzyskania wszelkich dokumentów spółek zależnych, na zasadach jak dla dokumentów i informacji Spółki, z uwzględnieniem odpowiedniego czasu potrzebnego na przekazanie tych dokumentów.</w:t>
      </w:r>
    </w:p>
    <w:p w14:paraId="46B7DF8D" w14:textId="77777777" w:rsidR="008B22F3" w:rsidRPr="007856CB" w:rsidRDefault="008B22F3" w:rsidP="008B22F3">
      <w:pPr>
        <w:numPr>
          <w:ilvl w:val="0"/>
          <w:numId w:val="20"/>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Walne Zgromadzenie może przyznać wszystkim lub niektórym członkom Rady Nadzorczej wynagrodzenie z tytułu pełnienia funkcji członka Rady Nadzorczej. Wysokość wynagrodzenia członka Rady Nadzorczej ustala Walne Zgromadzenie. Walne Zgromadzenie może zróżnicować wysokość wynagrodzenia poszczególnych członków Rady Nadzorczej.</w:t>
      </w:r>
    </w:p>
    <w:p w14:paraId="1707F5F9"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15A Komitet Audytu i inne komitety Rady Nadzorczej </w:t>
      </w:r>
    </w:p>
    <w:p w14:paraId="27740B74" w14:textId="77777777" w:rsidR="008B22F3" w:rsidRPr="007856CB" w:rsidRDefault="008B22F3" w:rsidP="008B22F3">
      <w:pPr>
        <w:numPr>
          <w:ilvl w:val="0"/>
          <w:numId w:val="53"/>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powołuje komitet audytu, w którego skład wchodzi co najmniej 3 (trzech) jej członków, z których większość (w tym przewodniczący komitetu audytu) spełnia kryteria niezależności określone w Ustawie o biegłych rewidentach, a co najmniej 1 (jeden) członek posiada wiedzę i umiejętności w zakresie rachunkowości lub badania sprawozdań finansowych oraz co najmniej 1 (jeden) członek posiada wiedzę i umiejętności z zakresu branży, w której działa Spółka lub poszczególni członkowie w określonych zakresach posiadają wiedzę i umiejętności z zakresu tej branży.</w:t>
      </w:r>
    </w:p>
    <w:p w14:paraId="29E82B3F" w14:textId="77777777" w:rsidR="008B22F3" w:rsidRPr="007856CB" w:rsidRDefault="008B22F3" w:rsidP="008B22F3">
      <w:pPr>
        <w:numPr>
          <w:ilvl w:val="0"/>
          <w:numId w:val="53"/>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sytuacji, gdy liczba Niezależnych Członków Rady Nadzorczej będzie wynosiła mniej niż 2 (dwóch) lub w przypadku, gdy żaden z członków Rady Nadzorczej nie będzie spełniał kryteriów dodatkowych określonych w ust. 1 powyżej (kryterium posiadania wiedzy i umiejętności w zakresie rachunkowości lub badania sprawozdań finansowych oraz kryterium posiadania wiedzy i umiejętności z zakresu branży, w której działa Spółka), Zarząd zobowiązany jest niezwłocznie zwołać Walne Zgromadzenie i umieścić w porządku obrad tego Zgromadzenia punkt dotyczący zmian w składzie osobowym Rady Nadzorczej, o ile pozostali członkowie Rady Nadzorczej, działając na podstawie § 15 ust. 6 powyżej, nie dokonają w terminie 14 (czternastu) dni (od dnia, w którym liczba Niezależnych Członków Rady Nadzorczej spadła poniżej dwóch lub od dnia, w którym w skład Rady Nadzorczej przestanie wchodzić co najmniej jeden członek spełniający kryteria dodatkowe określone w ust. 1 powyżej) powołania nowych członków Rady Nadzorczej w taki sposób, aby w skład Rady Nadzorczej wchodziło co najmniej 2 (dwóch) Niezależnych Członków oraz co najmniej 1 (jeden) członek spełniający dane kryteria dodatkowe określone w ust. 1 powyżej.</w:t>
      </w:r>
    </w:p>
    <w:p w14:paraId="4ACFDC03" w14:textId="77777777" w:rsidR="008B22F3" w:rsidRPr="007856CB" w:rsidRDefault="008B22F3" w:rsidP="008B22F3">
      <w:pPr>
        <w:numPr>
          <w:ilvl w:val="0"/>
          <w:numId w:val="53"/>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Rada Nadzorcza może powoływać ze swego grona również inne komitety oraz określać ich zadania i kompetencje.</w:t>
      </w:r>
    </w:p>
    <w:p w14:paraId="23384DE9" w14:textId="77777777" w:rsidR="008B22F3" w:rsidRPr="007856CB" w:rsidRDefault="008B22F3" w:rsidP="008B22F3">
      <w:pPr>
        <w:numPr>
          <w:ilvl w:val="0"/>
          <w:numId w:val="53"/>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Szczegółowe zadania oraz zasady funkcjonowania poszczególnych komitetów, w tym komitetu audytu, określa Regulamin Rady Nadzorczej lub przyjęty przez Radę Nadzorczą Regulamin takiego komitetu.</w:t>
      </w:r>
    </w:p>
    <w:p w14:paraId="4211AFEC"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16 Zarząd</w:t>
      </w:r>
    </w:p>
    <w:p w14:paraId="3B96C721"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prowadzi sprawy Spółki i reprezentuje ją na zewnątrz.</w:t>
      </w:r>
    </w:p>
    <w:p w14:paraId="22620106"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składa się z jednego lub większej liczby członków.</w:t>
      </w:r>
    </w:p>
    <w:p w14:paraId="24CE1A53"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Członków Zarządu, w tym Prezesa Zarządu, powołuje i odwołuje Rada Nadzorcza na wspólną pięcioletnią kadencję.</w:t>
      </w:r>
    </w:p>
    <w:p w14:paraId="11D49F26"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Liczbę członków Zarządu określa Rada Nadzorcza.</w:t>
      </w:r>
    </w:p>
    <w:p w14:paraId="24EA22BD"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umowie między Spółką a członkiem Zarządu, jak również w sporze z nim, Spółkę reprezentuje Rada Nadzorcza albo pełnomocnik powołany uchwałą Walnego Zgromadzenia, przy czym Rada Nadzorcza może upoważnić do zawarcia umowy lub reprezentowania w sporze z Zarządem jednego lub więcej Członów Rady Nadzorczej. W tym samym trybie dokonuje się innych czynności związanych ze stosunkiem pracy lub innym stosunkiem prawnym łączącym członka Zarządu ze Spółką.</w:t>
      </w:r>
    </w:p>
    <w:p w14:paraId="45436D66"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Wynagrodzenie Prezesa Zarządu i pozostałych Członków Zarządu ustala Rada Nadzorcza.</w:t>
      </w:r>
    </w:p>
    <w:p w14:paraId="46C8B97F"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Do zakresu działania Zarządu należą wszelkie sprawy niezastrzeżone przepisami prawa albo Statutu do kompetencji Walnego Zgromadzenia lub Rady Nadzorczej.</w:t>
      </w:r>
    </w:p>
    <w:p w14:paraId="1D811601"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Zarządu wieloosobowego, wszyscy jego członkowie są zobowiązani i uprawnieni do wspólnego prowadzenia spraw Spółki. Zarząd wieloosobowy podejmuje decyzje w formie uchwał zapadających zwykłą większością głosów, przy obecności co najmniej połowy składu Zarządu. W razie równości głosów rozstrzyga głos Prezesa Zarządu.</w:t>
      </w:r>
    </w:p>
    <w:p w14:paraId="7C35E82C"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lastRenderedPageBreak/>
        <w:t>Ustanowienie i odwołanie prokury następuje zgodnie z przepisami obowiązującego prawa.</w:t>
      </w:r>
    </w:p>
    <w:p w14:paraId="3B18C896"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może uchwalić Regulamin Zarządu, który szczegółowo określi tryb jego działania, i który dla swej ważności podlega zatwierdzeniu przez Radę Nadzorczą.</w:t>
      </w:r>
    </w:p>
    <w:p w14:paraId="40D3EBD9"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może podejmować uchwały w trybie pisemnym. Uchwała podejmowana w powyższy sposób jest ważna wyłącznie, gdy wszyscy członkowie Zarządu zostali powiadomieni o treści projektu uchwały.</w:t>
      </w:r>
    </w:p>
    <w:p w14:paraId="1D0BB701"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Zarząd może podejmować uchwały przy wykorzystaniu środków bezpośredniego porozumiewania się na odległość. Uchwała podejmowana w powyższy sposób jest ważna wyłącznie, gdy wszyscy członkowie Zarządu zostali powiadomieni o treści projektu uchwały.</w:t>
      </w:r>
    </w:p>
    <w:p w14:paraId="65786CAA"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Członkowie Zarządu mogą brać udział w podejmowaniu uchwał zarządu, oddając swój głos na piśmie za pośrednictwem innego Członka Zarządu.</w:t>
      </w:r>
    </w:p>
    <w:p w14:paraId="57EDA4A7"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posiedzeniu Zarządu można uczestniczyć również przy wykorzystaniu środków bezpośredniego porozumiewania się na odległość.</w:t>
      </w:r>
    </w:p>
    <w:p w14:paraId="52D26DEA"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 xml:space="preserve"> Posiedzenia Zarządu wieloosobowego zwołuje dowolny Członek Zarządu. Zawiadomienia o posiedzeniach Zarządu mogą być przekazane pisemnie, drogą elektroniczną, telefonicznie, a także ustnie.</w:t>
      </w:r>
    </w:p>
    <w:p w14:paraId="6DCF7C47"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Zarządu jednoosobowego do składania oświadczeń i podpisywania w imieniu Spółki uprawniony jest Prezes Zarządu samodzielnie. W przypadku Zarządu wieloosobowego do składania oświadczeń i podpisywania w imieniu Spółki wymagane jest współdziałanie dwóch Członków albo jednego Członka Zarządu łącznie z prokurentem.</w:t>
      </w:r>
    </w:p>
    <w:p w14:paraId="4BDF9A91" w14:textId="77777777" w:rsidR="008B22F3" w:rsidRPr="007856CB" w:rsidRDefault="008B22F3" w:rsidP="008B22F3">
      <w:pPr>
        <w:numPr>
          <w:ilvl w:val="0"/>
          <w:numId w:val="24"/>
        </w:numPr>
        <w:tabs>
          <w:tab w:val="left" w:leader="hyphen" w:pos="9072"/>
        </w:tabs>
        <w:spacing w:after="120" w:line="240" w:lineRule="auto"/>
        <w:ind w:left="426" w:right="80" w:hanging="426"/>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W przypadku, gdy zgodnie z przepisami prawa lub niniejszym Statutem, dla dokonania określonej czynności wymagana jest zgoda (lub udzielenie zgody należy do kompetencji) Walnego Zgromadzenia lub Rady Nadzorczej, Zarząd obowiązany jest uzyskać zgodę odpowiednio Walnego Zgromadzenia lub Rady Nadzorczej na dokonanie takiej czynności.</w:t>
      </w:r>
    </w:p>
    <w:p w14:paraId="5C39805F"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17 Udział w zysku i fundusze Spółki </w:t>
      </w:r>
    </w:p>
    <w:p w14:paraId="24FE923B" w14:textId="77777777" w:rsidR="008B22F3" w:rsidRPr="00FA489B" w:rsidRDefault="008B22F3" w:rsidP="008B22F3">
      <w:pPr>
        <w:pStyle w:val="Akapitzlist"/>
        <w:numPr>
          <w:ilvl w:val="1"/>
          <w:numId w:val="47"/>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14:ligatures w14:val="standardContextual"/>
        </w:rPr>
      </w:pPr>
      <w:r w:rsidRPr="00FA489B">
        <w:rPr>
          <w:rFonts w:asciiTheme="majorHAnsi" w:eastAsia="Bookman Old Style" w:hAnsiTheme="majorHAnsi" w:cstheme="majorHAnsi"/>
          <w:i/>
          <w:iCs/>
          <w:color w:val="000000"/>
          <w:kern w:val="2"/>
          <w:sz w:val="18"/>
          <w:szCs w:val="18"/>
          <w14:ligatures w14:val="standardContextual"/>
        </w:rPr>
        <w:t>Poza kapitałem zakładowym Spółka tworzy następujące kapitały i fundusze:</w:t>
      </w:r>
    </w:p>
    <w:p w14:paraId="553CB37B" w14:textId="77777777" w:rsidR="008B22F3" w:rsidRPr="007856CB" w:rsidRDefault="008B22F3" w:rsidP="008B22F3">
      <w:pPr>
        <w:numPr>
          <w:ilvl w:val="1"/>
          <w:numId w:val="30"/>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kapitał zapasowy;</w:t>
      </w:r>
    </w:p>
    <w:p w14:paraId="14BE4B8E" w14:textId="77777777" w:rsidR="008B22F3" w:rsidRPr="007856CB" w:rsidRDefault="008B22F3" w:rsidP="008B22F3">
      <w:pPr>
        <w:numPr>
          <w:ilvl w:val="1"/>
          <w:numId w:val="30"/>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kapitały rezerwowe;</w:t>
      </w:r>
    </w:p>
    <w:p w14:paraId="63654034" w14:textId="77777777" w:rsidR="008B22F3" w:rsidRPr="007856CB" w:rsidRDefault="008B22F3" w:rsidP="008B22F3">
      <w:pPr>
        <w:numPr>
          <w:ilvl w:val="1"/>
          <w:numId w:val="30"/>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inne kapitały i fundusze, których utworzenie jest dopuszczalne na podstawie powszechnie obowiązujących przepisów prawa.</w:t>
      </w:r>
    </w:p>
    <w:p w14:paraId="3E5CFEE1" w14:textId="77777777" w:rsidR="008B22F3" w:rsidRPr="007856CB" w:rsidRDefault="008B22F3" w:rsidP="008B22F3">
      <w:pPr>
        <w:pStyle w:val="Akapitzlist"/>
        <w:numPr>
          <w:ilvl w:val="1"/>
          <w:numId w:val="47"/>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14:ligatures w14:val="standardContextual"/>
        </w:rPr>
      </w:pPr>
      <w:r w:rsidRPr="007856CB">
        <w:rPr>
          <w:rFonts w:asciiTheme="majorHAnsi" w:eastAsia="Bookman Old Style" w:hAnsiTheme="majorHAnsi" w:cstheme="majorHAnsi"/>
          <w:i/>
          <w:iCs/>
          <w:color w:val="000000"/>
          <w:kern w:val="2"/>
          <w:sz w:val="18"/>
          <w:szCs w:val="18"/>
          <w14:ligatures w14:val="standardContextual"/>
        </w:rPr>
        <w:t>Czysty zysk Spółki przeznacza się na:</w:t>
      </w:r>
    </w:p>
    <w:p w14:paraId="10AADE79" w14:textId="77777777" w:rsidR="008B22F3" w:rsidRPr="007856CB" w:rsidRDefault="008B22F3" w:rsidP="008B22F3">
      <w:pPr>
        <w:numPr>
          <w:ilvl w:val="0"/>
          <w:numId w:val="5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dywidendy dla akcjonariuszy;</w:t>
      </w:r>
    </w:p>
    <w:p w14:paraId="06258E8B" w14:textId="77777777" w:rsidR="008B22F3" w:rsidRPr="007856CB" w:rsidRDefault="008B22F3" w:rsidP="008B22F3">
      <w:pPr>
        <w:numPr>
          <w:ilvl w:val="0"/>
          <w:numId w:val="5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kapitał zapasowy;</w:t>
      </w:r>
    </w:p>
    <w:p w14:paraId="69DA2204" w14:textId="77777777" w:rsidR="008B22F3" w:rsidRPr="007856CB" w:rsidRDefault="008B22F3" w:rsidP="008B22F3">
      <w:pPr>
        <w:numPr>
          <w:ilvl w:val="0"/>
          <w:numId w:val="5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kapitał rezerwowy i inne kapitały lub fundusze utworzone przez Walne Zgromadzenie;</w:t>
      </w:r>
    </w:p>
    <w:p w14:paraId="7057E425" w14:textId="77777777" w:rsidR="008B22F3" w:rsidRPr="007856CB" w:rsidRDefault="008B22F3" w:rsidP="008B22F3">
      <w:pPr>
        <w:numPr>
          <w:ilvl w:val="0"/>
          <w:numId w:val="52"/>
        </w:numPr>
        <w:tabs>
          <w:tab w:val="left" w:leader="hyphen" w:pos="9072"/>
        </w:tabs>
        <w:spacing w:after="120" w:line="240" w:lineRule="auto"/>
        <w:ind w:left="851" w:right="80" w:hanging="425"/>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inne cele określone przez Walne Zgromadzenie.</w:t>
      </w:r>
    </w:p>
    <w:p w14:paraId="76D84078" w14:textId="77777777" w:rsidR="008B22F3" w:rsidRPr="007856CB" w:rsidRDefault="008B22F3" w:rsidP="008B22F3">
      <w:pPr>
        <w:pStyle w:val="Akapitzlist"/>
        <w:numPr>
          <w:ilvl w:val="1"/>
          <w:numId w:val="47"/>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14:ligatures w14:val="standardContextual"/>
        </w:rPr>
      </w:pPr>
      <w:r w:rsidRPr="007856CB">
        <w:rPr>
          <w:rFonts w:asciiTheme="majorHAnsi" w:eastAsia="Bookman Old Style" w:hAnsiTheme="majorHAnsi" w:cstheme="majorHAnsi"/>
          <w:i/>
          <w:iCs/>
          <w:color w:val="000000"/>
          <w:kern w:val="2"/>
          <w:sz w:val="18"/>
          <w:szCs w:val="18"/>
          <w14:ligatures w14:val="standardContextual"/>
        </w:rPr>
        <w:t>Walne Zgromadzenie uprawnione jest do określenia dnia, według którego ustala się listę akcjonariuszy uprawnionych do dywidendy za dany rok obrotowy (Dzień Dywidendy). Dzień Dywidendy oraz termin wypłaty dywidendy ustalany jest przez Walne Zgromadzenie. Walne Zgromadzenie może zdecydować o wyłączeniu czystego zysku lub jego części od podziału pomiędzy akcjonariuszy.</w:t>
      </w:r>
    </w:p>
    <w:p w14:paraId="612E447C" w14:textId="77777777" w:rsidR="008B22F3" w:rsidRPr="007856CB" w:rsidRDefault="008B22F3" w:rsidP="008B22F3">
      <w:pPr>
        <w:pStyle w:val="Akapitzlist"/>
        <w:numPr>
          <w:ilvl w:val="1"/>
          <w:numId w:val="47"/>
        </w:num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14:ligatures w14:val="standardContextual"/>
        </w:rPr>
      </w:pPr>
      <w:r w:rsidRPr="007856CB">
        <w:rPr>
          <w:rFonts w:asciiTheme="majorHAnsi" w:eastAsia="Bookman Old Style" w:hAnsiTheme="majorHAnsi" w:cstheme="majorHAnsi"/>
          <w:i/>
          <w:iCs/>
          <w:color w:val="000000"/>
          <w:kern w:val="2"/>
          <w:sz w:val="18"/>
          <w:szCs w:val="18"/>
          <w14:ligatures w14:val="standardContextual"/>
        </w:rPr>
        <w:t>Zarząd Spółki jest uprawniony do wypłaty akcjonariuszom, na zasadach przewidzianych w Kodeksie spółek handlowych, zaliczek na poczet przewidzianej dywidendy na koniec roku obrotowego, jeżeli Spółka posiada wystarczające środki na wypłatę. Wypłata zaliczki wymaga zgody Rady Nadzorczej.</w:t>
      </w:r>
    </w:p>
    <w:p w14:paraId="470643DB"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18 </w:t>
      </w:r>
    </w:p>
    <w:p w14:paraId="5665F73B"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(uchylony) </w:t>
      </w:r>
    </w:p>
    <w:p w14:paraId="20CA8800"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19 Rachunkowość </w:t>
      </w:r>
    </w:p>
    <w:p w14:paraId="14D01B41" w14:textId="77777777" w:rsidR="008B22F3" w:rsidRPr="007856CB" w:rsidRDefault="008B22F3" w:rsidP="008B22F3">
      <w:p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Spółka prowadzi rachunkowość oraz księgi rachunkowe zgodnie z obowiązującymi w Rzeczypospolitej Polskiej przepisami prawa.</w:t>
      </w:r>
    </w:p>
    <w:p w14:paraId="0EB24962"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t xml:space="preserve">§ 20 Rok obrotowy </w:t>
      </w:r>
    </w:p>
    <w:p w14:paraId="68B5F3FD" w14:textId="77777777" w:rsidR="008B22F3" w:rsidRPr="007856CB" w:rsidRDefault="008B22F3" w:rsidP="008B22F3">
      <w:pPr>
        <w:tabs>
          <w:tab w:val="left" w:leader="hyphen" w:pos="9072"/>
        </w:tabs>
        <w:spacing w:after="120" w:line="240" w:lineRule="auto"/>
        <w:ind w:right="80"/>
        <w:jc w:val="both"/>
        <w:rPr>
          <w:rFonts w:asciiTheme="majorHAnsi" w:eastAsia="Bookman Old Style" w:hAnsiTheme="majorHAnsi" w:cstheme="majorHAnsi"/>
          <w:i/>
          <w:iCs/>
          <w:color w:val="000000"/>
          <w:kern w:val="2"/>
          <w:sz w:val="18"/>
          <w:szCs w:val="18"/>
          <w:lang w:eastAsia="pl-PL"/>
          <w14:ligatures w14:val="standardContextual"/>
        </w:rPr>
      </w:pPr>
      <w:r w:rsidRPr="007856CB">
        <w:rPr>
          <w:rFonts w:asciiTheme="majorHAnsi" w:eastAsia="Bookman Old Style" w:hAnsiTheme="majorHAnsi" w:cstheme="majorHAnsi"/>
          <w:i/>
          <w:iCs/>
          <w:color w:val="000000"/>
          <w:kern w:val="2"/>
          <w:sz w:val="18"/>
          <w:szCs w:val="18"/>
          <w:lang w:eastAsia="pl-PL"/>
          <w14:ligatures w14:val="standardContextual"/>
        </w:rPr>
        <w:t>Rokiem obrotowym Spółki jest rok kalendarzowy.</w:t>
      </w:r>
    </w:p>
    <w:p w14:paraId="275E2460" w14:textId="77777777" w:rsidR="008B22F3" w:rsidRPr="007856CB" w:rsidRDefault="008B22F3" w:rsidP="008B22F3">
      <w:pPr>
        <w:keepNext/>
        <w:tabs>
          <w:tab w:val="left" w:leader="hyphen" w:pos="9072"/>
        </w:tabs>
        <w:spacing w:after="120" w:line="240" w:lineRule="auto"/>
        <w:ind w:right="79" w:hanging="11"/>
        <w:jc w:val="center"/>
        <w:rPr>
          <w:rFonts w:asciiTheme="majorHAnsi" w:eastAsia="Bookman Old Style" w:hAnsiTheme="majorHAnsi" w:cstheme="majorHAnsi"/>
          <w:b/>
          <w:i/>
          <w:iCs/>
          <w:color w:val="000000"/>
          <w:kern w:val="2"/>
          <w:sz w:val="18"/>
          <w:szCs w:val="18"/>
          <w:lang w:eastAsia="pl-PL"/>
          <w14:ligatures w14:val="standardContextual"/>
        </w:rPr>
      </w:pPr>
      <w:r w:rsidRPr="007856CB">
        <w:rPr>
          <w:rFonts w:asciiTheme="majorHAnsi" w:eastAsia="Bookman Old Style" w:hAnsiTheme="majorHAnsi" w:cstheme="majorHAnsi"/>
          <w:b/>
          <w:i/>
          <w:iCs/>
          <w:color w:val="000000"/>
          <w:kern w:val="2"/>
          <w:sz w:val="18"/>
          <w:szCs w:val="18"/>
          <w:lang w:eastAsia="pl-PL"/>
          <w14:ligatures w14:val="standardContextual"/>
        </w:rPr>
        <w:lastRenderedPageBreak/>
        <w:t xml:space="preserve">§ 21 Postanowienia końcowe </w:t>
      </w:r>
    </w:p>
    <w:p w14:paraId="61A64D31" w14:textId="77777777" w:rsidR="008B22F3" w:rsidRPr="007856CB" w:rsidRDefault="008B22F3" w:rsidP="008B22F3">
      <w:pPr>
        <w:pStyle w:val="Akapitzlist"/>
        <w:spacing w:after="120" w:line="240" w:lineRule="auto"/>
        <w:ind w:left="0"/>
        <w:contextualSpacing w:val="0"/>
        <w:jc w:val="both"/>
        <w:rPr>
          <w:rFonts w:asciiTheme="majorHAnsi" w:hAnsiTheme="majorHAnsi" w:cstheme="majorHAnsi"/>
          <w:i/>
          <w:iCs/>
          <w:sz w:val="18"/>
          <w:szCs w:val="18"/>
        </w:rPr>
      </w:pPr>
      <w:r w:rsidRPr="007856CB">
        <w:rPr>
          <w:rFonts w:asciiTheme="majorHAnsi" w:eastAsia="Bookman Old Style" w:hAnsiTheme="majorHAnsi" w:cstheme="majorHAnsi"/>
          <w:i/>
          <w:iCs/>
          <w:color w:val="000000"/>
          <w:kern w:val="2"/>
          <w:sz w:val="18"/>
          <w:szCs w:val="18"/>
          <w14:ligatures w14:val="standardContextual"/>
        </w:rPr>
        <w:t>W sprawach nieuregulowanych Statutem mają zastosowanie przepisy obowiązującego prawa, w tym w szczególności przepisy Kodeksu spółek handlowych.</w:t>
      </w:r>
      <w:r w:rsidRPr="007856CB">
        <w:rPr>
          <w:rFonts w:asciiTheme="majorHAnsi" w:eastAsia="Bookman Old Style" w:hAnsiTheme="majorHAnsi" w:cstheme="majorHAnsi"/>
          <w:color w:val="000000"/>
          <w:kern w:val="2"/>
          <w:sz w:val="18"/>
          <w:szCs w:val="18"/>
          <w14:ligatures w14:val="standardContextual"/>
        </w:rPr>
        <w:t>”</w:t>
      </w:r>
      <w:r w:rsidRPr="007856CB">
        <w:rPr>
          <w:rFonts w:asciiTheme="majorHAnsi" w:eastAsia="Bookman Old Style" w:hAnsiTheme="majorHAnsi" w:cstheme="majorHAnsi"/>
          <w:color w:val="000000"/>
          <w:kern w:val="2"/>
          <w:sz w:val="18"/>
          <w:szCs w:val="18"/>
          <w14:ligatures w14:val="standardContextual"/>
        </w:rPr>
        <w:tab/>
        <w:t>.</w:t>
      </w:r>
    </w:p>
    <w:p w14:paraId="43EC343B" w14:textId="77777777" w:rsidR="008B22F3" w:rsidRPr="007856CB" w:rsidRDefault="008B22F3" w:rsidP="008B22F3">
      <w:pPr>
        <w:pStyle w:val="Akapitzlist"/>
        <w:numPr>
          <w:ilvl w:val="0"/>
          <w:numId w:val="47"/>
        </w:numPr>
        <w:spacing w:before="120" w:after="0" w:line="240" w:lineRule="auto"/>
        <w:ind w:left="0" w:firstLine="284"/>
        <w:contextualSpacing w:val="0"/>
        <w:jc w:val="center"/>
        <w:rPr>
          <w:rFonts w:asciiTheme="majorHAnsi" w:hAnsiTheme="majorHAnsi" w:cstheme="majorHAnsi"/>
          <w:b/>
          <w:bCs/>
          <w:sz w:val="18"/>
          <w:szCs w:val="18"/>
        </w:rPr>
      </w:pPr>
    </w:p>
    <w:p w14:paraId="579C96B2" w14:textId="77777777" w:rsidR="008B22F3" w:rsidRPr="007856CB" w:rsidRDefault="008B22F3" w:rsidP="008B22F3">
      <w:pPr>
        <w:keepNext/>
        <w:spacing w:after="120" w:line="240" w:lineRule="auto"/>
        <w:jc w:val="center"/>
        <w:rPr>
          <w:rFonts w:asciiTheme="majorHAnsi" w:hAnsiTheme="majorHAnsi" w:cstheme="majorHAnsi"/>
          <w:b/>
          <w:sz w:val="18"/>
          <w:szCs w:val="18"/>
        </w:rPr>
      </w:pPr>
      <w:r w:rsidRPr="007856CB">
        <w:rPr>
          <w:rFonts w:asciiTheme="majorHAnsi" w:hAnsiTheme="majorHAnsi" w:cstheme="majorHAnsi"/>
          <w:b/>
          <w:sz w:val="18"/>
          <w:szCs w:val="18"/>
        </w:rPr>
        <w:t>Wejście w życie</w:t>
      </w:r>
    </w:p>
    <w:p w14:paraId="2D4E0DA5" w14:textId="77777777" w:rsidR="008B22F3" w:rsidRPr="007856CB" w:rsidRDefault="008B22F3" w:rsidP="008B22F3">
      <w:pPr>
        <w:numPr>
          <w:ilvl w:val="0"/>
          <w:numId w:val="49"/>
        </w:numPr>
        <w:spacing w:after="120" w:line="240" w:lineRule="auto"/>
        <w:ind w:left="284" w:hanging="284"/>
        <w:jc w:val="both"/>
        <w:rPr>
          <w:rFonts w:asciiTheme="majorHAnsi" w:hAnsiTheme="majorHAnsi" w:cstheme="majorHAnsi"/>
          <w:sz w:val="18"/>
          <w:szCs w:val="18"/>
        </w:rPr>
      </w:pPr>
      <w:r w:rsidRPr="007856CB">
        <w:rPr>
          <w:rFonts w:asciiTheme="majorHAnsi" w:hAnsiTheme="majorHAnsi" w:cstheme="majorHAnsi"/>
          <w:sz w:val="18"/>
          <w:szCs w:val="18"/>
        </w:rPr>
        <w:t xml:space="preserve">Niniejsza uchwała wchodzi w życie z </w:t>
      </w:r>
      <w:r>
        <w:rPr>
          <w:rFonts w:asciiTheme="majorHAnsi" w:hAnsiTheme="majorHAnsi" w:cstheme="majorHAnsi"/>
          <w:sz w:val="18"/>
          <w:szCs w:val="18"/>
        </w:rPr>
        <w:t>chwilą</w:t>
      </w:r>
      <w:r w:rsidRPr="007856CB">
        <w:rPr>
          <w:rFonts w:asciiTheme="majorHAnsi" w:hAnsiTheme="majorHAnsi" w:cstheme="majorHAnsi"/>
          <w:sz w:val="18"/>
          <w:szCs w:val="18"/>
        </w:rPr>
        <w:t xml:space="preserve"> podjęcia.</w:t>
      </w:r>
    </w:p>
    <w:p w14:paraId="266E4AC2" w14:textId="77777777" w:rsidR="008B22F3" w:rsidRDefault="008B22F3" w:rsidP="008B22F3">
      <w:pPr>
        <w:numPr>
          <w:ilvl w:val="0"/>
          <w:numId w:val="49"/>
        </w:numPr>
        <w:spacing w:after="120" w:line="240" w:lineRule="auto"/>
        <w:ind w:left="284" w:hanging="284"/>
        <w:jc w:val="both"/>
        <w:rPr>
          <w:rFonts w:asciiTheme="majorHAnsi" w:hAnsiTheme="majorHAnsi" w:cstheme="majorHAnsi"/>
          <w:sz w:val="18"/>
          <w:szCs w:val="18"/>
        </w:rPr>
      </w:pPr>
      <w:r w:rsidRPr="007856CB">
        <w:rPr>
          <w:rFonts w:asciiTheme="majorHAnsi" w:hAnsiTheme="majorHAnsi" w:cstheme="majorHAnsi"/>
          <w:sz w:val="18"/>
          <w:szCs w:val="18"/>
        </w:rPr>
        <w:t>Zmiana statutu Spółki wynikająca z niniejszej uchwały następuje z chwilą jej zarejestrowania w rejestrze przedsiębiorców Krajowego Rejestru Sądowego.</w:t>
      </w:r>
    </w:p>
    <w:p w14:paraId="594148EE" w14:textId="77777777" w:rsidR="004E396D" w:rsidRPr="004E396D" w:rsidRDefault="004E396D" w:rsidP="004E396D">
      <w:pPr>
        <w:widowControl w:val="0"/>
        <w:shd w:val="clear" w:color="auto" w:fill="FFFFFF"/>
        <w:tabs>
          <w:tab w:val="num" w:pos="360"/>
        </w:tabs>
        <w:autoSpaceDE w:val="0"/>
        <w:autoSpaceDN w:val="0"/>
        <w:adjustRightInd w:val="0"/>
        <w:spacing w:after="120" w:line="240" w:lineRule="auto"/>
        <w:ind w:left="17"/>
        <w:jc w:val="both"/>
        <w:rPr>
          <w:rFonts w:asciiTheme="majorHAnsi" w:eastAsia="Times New Roman" w:hAnsiTheme="majorHAnsi" w:cstheme="majorHAnsi"/>
          <w:b/>
          <w:i/>
          <w:sz w:val="18"/>
          <w:szCs w:val="18"/>
        </w:rPr>
      </w:pPr>
    </w:p>
    <w:p w14:paraId="18D64BB2" w14:textId="77777777" w:rsidR="004E396D" w:rsidRPr="00C51F29" w:rsidRDefault="004E396D" w:rsidP="004E396D">
      <w:pPr>
        <w:spacing w:after="120" w:line="240" w:lineRule="auto"/>
        <w:jc w:val="both"/>
        <w:rPr>
          <w:rFonts w:asciiTheme="majorHAnsi" w:hAnsiTheme="majorHAnsi" w:cstheme="majorHAnsi"/>
          <w:b/>
          <w:i/>
          <w:sz w:val="18"/>
          <w:szCs w:val="18"/>
          <w:lang w:eastAsia="pl-PL"/>
        </w:rPr>
      </w:pPr>
    </w:p>
    <w:p w14:paraId="7022B936" w14:textId="77777777" w:rsidR="004E396D" w:rsidRPr="002C24BD" w:rsidRDefault="004E396D" w:rsidP="004E396D">
      <w:pPr>
        <w:spacing w:after="0" w:line="288" w:lineRule="auto"/>
        <w:jc w:val="center"/>
        <w:outlineLvl w:val="0"/>
        <w:rPr>
          <w:rFonts w:ascii="Calibri Light" w:hAnsi="Calibri Light" w:cs="Calibri Light"/>
          <w:color w:val="000000"/>
          <w:sz w:val="18"/>
          <w:szCs w:val="18"/>
        </w:rPr>
      </w:pPr>
      <w:r w:rsidRPr="002C24BD">
        <w:rPr>
          <w:rFonts w:ascii="Calibri Light" w:hAnsi="Calibri Light" w:cs="Calibri Light"/>
          <w:b/>
          <w:bCs/>
          <w:color w:val="000000"/>
          <w:sz w:val="18"/>
          <w:szCs w:val="18"/>
        </w:rPr>
        <w:t>INSTRUKCJA GŁOSOWANIA:</w:t>
      </w:r>
    </w:p>
    <w:p w14:paraId="7F284CBE"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rPr>
      </w:pPr>
    </w:p>
    <w:tbl>
      <w:tblPr>
        <w:tblStyle w:val="Tabela-Siatka"/>
        <w:tblW w:w="0" w:type="auto"/>
        <w:tblLook w:val="04A0" w:firstRow="1" w:lastRow="0" w:firstColumn="1" w:lastColumn="0" w:noHBand="0" w:noVBand="1"/>
      </w:tblPr>
      <w:tblGrid>
        <w:gridCol w:w="1802"/>
        <w:gridCol w:w="1802"/>
        <w:gridCol w:w="1807"/>
        <w:gridCol w:w="1834"/>
        <w:gridCol w:w="1817"/>
      </w:tblGrid>
      <w:tr w:rsidR="004E396D" w:rsidRPr="002C24BD" w14:paraId="329FC5C8" w14:textId="77777777" w:rsidTr="00157115">
        <w:trPr>
          <w:trHeight w:val="1028"/>
        </w:trPr>
        <w:tc>
          <w:tcPr>
            <w:tcW w:w="1802" w:type="dxa"/>
          </w:tcPr>
          <w:p w14:paraId="4815063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Głosuję za uchwałą</w:t>
            </w:r>
          </w:p>
        </w:tc>
        <w:tc>
          <w:tcPr>
            <w:tcW w:w="1802" w:type="dxa"/>
          </w:tcPr>
          <w:p w14:paraId="699D3DAE"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Głosuję przeciwko uchwale</w:t>
            </w:r>
          </w:p>
        </w:tc>
        <w:tc>
          <w:tcPr>
            <w:tcW w:w="1807" w:type="dxa"/>
          </w:tcPr>
          <w:p w14:paraId="50542F26"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Wstrzymuję się</w:t>
            </w:r>
          </w:p>
        </w:tc>
        <w:tc>
          <w:tcPr>
            <w:tcW w:w="1834" w:type="dxa"/>
          </w:tcPr>
          <w:p w14:paraId="48A1B712"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Żądam zaprotokołowania sprzeciwu</w:t>
            </w:r>
          </w:p>
        </w:tc>
        <w:tc>
          <w:tcPr>
            <w:tcW w:w="1817" w:type="dxa"/>
          </w:tcPr>
          <w:p w14:paraId="7EF9077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Według uznania pełnomocnika </w:t>
            </w:r>
          </w:p>
        </w:tc>
      </w:tr>
      <w:tr w:rsidR="004E396D" w:rsidRPr="002C24BD" w14:paraId="443C21DB" w14:textId="77777777" w:rsidTr="00157115">
        <w:trPr>
          <w:trHeight w:val="2010"/>
        </w:trPr>
        <w:tc>
          <w:tcPr>
            <w:tcW w:w="1802" w:type="dxa"/>
          </w:tcPr>
          <w:p w14:paraId="36735F0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71552" behindDoc="0" locked="0" layoutInCell="1" allowOverlap="1" wp14:anchorId="782E7029" wp14:editId="2891DF83">
                      <wp:simplePos x="0" y="0"/>
                      <wp:positionH relativeFrom="column">
                        <wp:posOffset>440055</wp:posOffset>
                      </wp:positionH>
                      <wp:positionV relativeFrom="paragraph">
                        <wp:posOffset>130175</wp:posOffset>
                      </wp:positionV>
                      <wp:extent cx="209550" cy="209550"/>
                      <wp:effectExtent l="0" t="0" r="19050" b="19050"/>
                      <wp:wrapNone/>
                      <wp:docPr id="1925922811" name="Prostokąt 1925922811"/>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F510C" id="Prostokąt 1925922811" o:spid="_x0000_s1026" style="position:absolute;margin-left:34.65pt;margin-top:10.25pt;width:16.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03105892"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5229D27"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3BF398EB"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0B3E3F4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6E0D1F7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087DE2D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60732EAF"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tc>
        <w:tc>
          <w:tcPr>
            <w:tcW w:w="1802" w:type="dxa"/>
          </w:tcPr>
          <w:p w14:paraId="3DD2E9B5"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72576" behindDoc="0" locked="0" layoutInCell="1" allowOverlap="1" wp14:anchorId="7F387FED" wp14:editId="3590910C">
                      <wp:simplePos x="0" y="0"/>
                      <wp:positionH relativeFrom="column">
                        <wp:posOffset>440055</wp:posOffset>
                      </wp:positionH>
                      <wp:positionV relativeFrom="paragraph">
                        <wp:posOffset>130175</wp:posOffset>
                      </wp:positionV>
                      <wp:extent cx="209550" cy="209550"/>
                      <wp:effectExtent l="0" t="0" r="19050" b="19050"/>
                      <wp:wrapNone/>
                      <wp:docPr id="1299881554" name="Prostokąt 1299881554"/>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32E0B" id="Prostokąt 1299881554" o:spid="_x0000_s1026" style="position:absolute;margin-left:34.65pt;margin-top:10.25pt;width:16.5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5F5CA17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7FAA39F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407F021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637EFC5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19A3C8B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3B56C00F"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c>
          <w:tcPr>
            <w:tcW w:w="1807" w:type="dxa"/>
          </w:tcPr>
          <w:p w14:paraId="0A12DB2A"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73600" behindDoc="0" locked="0" layoutInCell="1" allowOverlap="1" wp14:anchorId="06194D35" wp14:editId="13B3A78C">
                      <wp:simplePos x="0" y="0"/>
                      <wp:positionH relativeFrom="column">
                        <wp:posOffset>440055</wp:posOffset>
                      </wp:positionH>
                      <wp:positionV relativeFrom="paragraph">
                        <wp:posOffset>130175</wp:posOffset>
                      </wp:positionV>
                      <wp:extent cx="209550" cy="209550"/>
                      <wp:effectExtent l="0" t="0" r="19050" b="19050"/>
                      <wp:wrapNone/>
                      <wp:docPr id="767777774" name="Prostokąt 767777774"/>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5DAF1" id="Prostokąt 767777774" o:spid="_x0000_s1026" style="position:absolute;margin-left:34.65pt;margin-top:10.25pt;width:16.5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106E9A53"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7E23213D"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24BF1F1E"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5319826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14ACDF0C"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46F58E39"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c>
          <w:tcPr>
            <w:tcW w:w="1834" w:type="dxa"/>
          </w:tcPr>
          <w:p w14:paraId="555E09C1"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74624" behindDoc="0" locked="0" layoutInCell="1" allowOverlap="1" wp14:anchorId="6E2F6FA9" wp14:editId="2CDBA360">
                      <wp:simplePos x="0" y="0"/>
                      <wp:positionH relativeFrom="column">
                        <wp:posOffset>440055</wp:posOffset>
                      </wp:positionH>
                      <wp:positionV relativeFrom="paragraph">
                        <wp:posOffset>130175</wp:posOffset>
                      </wp:positionV>
                      <wp:extent cx="209550" cy="209550"/>
                      <wp:effectExtent l="0" t="0" r="19050" b="19050"/>
                      <wp:wrapNone/>
                      <wp:docPr id="769249012" name="Prostokąt 769249012"/>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27033" id="Prostokąt 769249012" o:spid="_x0000_s1026" style="position:absolute;margin-left:34.65pt;margin-top:10.25pt;width:16.5pt;height:1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13A92448"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5AE1989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1BA8198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1AE6F6E7"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tc>
        <w:tc>
          <w:tcPr>
            <w:tcW w:w="1817" w:type="dxa"/>
          </w:tcPr>
          <w:p w14:paraId="299AC6A0"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noProof/>
                <w:color w:val="000000"/>
                <w:sz w:val="18"/>
                <w:szCs w:val="18"/>
              </w:rPr>
              <mc:AlternateContent>
                <mc:Choice Requires="wps">
                  <w:drawing>
                    <wp:anchor distT="0" distB="0" distL="114300" distR="114300" simplePos="0" relativeHeight="251675648" behindDoc="0" locked="0" layoutInCell="1" allowOverlap="1" wp14:anchorId="011772D2" wp14:editId="7B9C86B3">
                      <wp:simplePos x="0" y="0"/>
                      <wp:positionH relativeFrom="column">
                        <wp:posOffset>440055</wp:posOffset>
                      </wp:positionH>
                      <wp:positionV relativeFrom="paragraph">
                        <wp:posOffset>130175</wp:posOffset>
                      </wp:positionV>
                      <wp:extent cx="209550" cy="209550"/>
                      <wp:effectExtent l="0" t="0" r="19050" b="19050"/>
                      <wp:wrapNone/>
                      <wp:docPr id="1000462796" name="Prostokąt 1000462796"/>
                      <wp:cNvGraphicFramePr/>
                      <a:graphic xmlns:a="http://schemas.openxmlformats.org/drawingml/2006/main">
                        <a:graphicData uri="http://schemas.microsoft.com/office/word/2010/wordprocessingShape">
                          <wps:wsp>
                            <wps:cNvSpPr/>
                            <wps:spPr>
                              <a:xfrm>
                                <a:off x="0" y="0"/>
                                <a:ext cx="209550" cy="2095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BF0DD" id="Prostokąt 1000462796" o:spid="_x0000_s1026" style="position:absolute;margin-left:34.65pt;margin-top:10.25pt;width:16.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" fillcolor="white [3201]" strokecolor="black [3213]" strokeweight="1pt"/>
                  </w:pict>
                </mc:Fallback>
              </mc:AlternateContent>
            </w:r>
          </w:p>
          <w:p w14:paraId="31C29F46"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12650E49"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49E1AF6E"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 xml:space="preserve">Liczba akcji: </w:t>
            </w:r>
          </w:p>
          <w:p w14:paraId="7213EF8A"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p>
          <w:p w14:paraId="01D98682" w14:textId="77777777" w:rsidR="004E396D" w:rsidRPr="002C24BD" w:rsidRDefault="004E396D" w:rsidP="00157115">
            <w:pPr>
              <w:autoSpaceDE w:val="0"/>
              <w:autoSpaceDN w:val="0"/>
              <w:adjustRightInd w:val="0"/>
              <w:spacing w:after="0"/>
              <w:jc w:val="center"/>
              <w:rPr>
                <w:rFonts w:ascii="Calibri Light" w:hAnsi="Calibri Light" w:cs="Calibri Light"/>
                <w:b/>
                <w:bCs/>
                <w:color w:val="000000"/>
                <w:sz w:val="18"/>
                <w:szCs w:val="18"/>
              </w:rPr>
            </w:pPr>
            <w:r w:rsidRPr="002C24BD">
              <w:rPr>
                <w:rFonts w:ascii="Calibri Light" w:hAnsi="Calibri Light" w:cs="Calibri Light"/>
                <w:b/>
                <w:bCs/>
                <w:color w:val="000000"/>
                <w:sz w:val="18"/>
                <w:szCs w:val="18"/>
              </w:rPr>
              <w:t>_________</w:t>
            </w:r>
          </w:p>
          <w:p w14:paraId="1109E8FE" w14:textId="77777777" w:rsidR="004E396D" w:rsidRPr="002C24BD" w:rsidRDefault="004E396D" w:rsidP="00157115">
            <w:pPr>
              <w:autoSpaceDE w:val="0"/>
              <w:autoSpaceDN w:val="0"/>
              <w:adjustRightInd w:val="0"/>
              <w:spacing w:after="0"/>
              <w:rPr>
                <w:rFonts w:ascii="Calibri Light" w:hAnsi="Calibri Light" w:cs="Calibri Light"/>
                <w:b/>
                <w:bCs/>
                <w:color w:val="000000"/>
                <w:sz w:val="18"/>
                <w:szCs w:val="18"/>
              </w:rPr>
            </w:pPr>
          </w:p>
        </w:tc>
      </w:tr>
    </w:tbl>
    <w:p w14:paraId="51EBA746"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rPr>
      </w:pPr>
    </w:p>
    <w:p w14:paraId="587D04AA" w14:textId="77777777" w:rsidR="004E396D" w:rsidRPr="002C24BD" w:rsidRDefault="004E396D" w:rsidP="004E396D">
      <w:pPr>
        <w:autoSpaceDE w:val="0"/>
        <w:autoSpaceDN w:val="0"/>
        <w:adjustRightInd w:val="0"/>
        <w:spacing w:after="0"/>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 xml:space="preserve">W przypadku głosowania przeciwko uchwale, Akcjonariusz może poniżej wyrazić sprzeciw z </w:t>
      </w:r>
      <w:r>
        <w:rPr>
          <w:rFonts w:ascii="Calibri Light" w:hAnsi="Calibri Light" w:cs="Calibri Light"/>
          <w:b/>
          <w:bCs/>
          <w:color w:val="000000"/>
          <w:sz w:val="18"/>
          <w:szCs w:val="18"/>
          <w:u w:val="single"/>
        </w:rPr>
        <w:t>żądaniem wpisania sprzeciwu</w:t>
      </w:r>
      <w:r w:rsidRPr="002C24BD">
        <w:rPr>
          <w:rFonts w:ascii="Calibri Light" w:hAnsi="Calibri Light" w:cs="Calibri Light"/>
          <w:b/>
          <w:bCs/>
          <w:color w:val="000000"/>
          <w:sz w:val="18"/>
          <w:szCs w:val="18"/>
          <w:u w:val="single"/>
        </w:rPr>
        <w:t xml:space="preserve"> do protokołu. </w:t>
      </w:r>
    </w:p>
    <w:p w14:paraId="4F28DE99"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6DF0828C"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sprzeciwu:</w:t>
      </w:r>
    </w:p>
    <w:tbl>
      <w:tblPr>
        <w:tblStyle w:val="Tabela-Siatka"/>
        <w:tblW w:w="0" w:type="auto"/>
        <w:tblLook w:val="04A0" w:firstRow="1" w:lastRow="0" w:firstColumn="1" w:lastColumn="0" w:noHBand="0" w:noVBand="1"/>
      </w:tblPr>
      <w:tblGrid>
        <w:gridCol w:w="9062"/>
      </w:tblGrid>
      <w:tr w:rsidR="004E396D" w:rsidRPr="002C24BD" w14:paraId="6187D7D6" w14:textId="77777777" w:rsidTr="00157115">
        <w:trPr>
          <w:trHeight w:val="590"/>
        </w:trPr>
        <w:tc>
          <w:tcPr>
            <w:tcW w:w="9180" w:type="dxa"/>
          </w:tcPr>
          <w:p w14:paraId="3ECD3570"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337017E4"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6E5155ED"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415A459B"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 xml:space="preserve">Instrukcje dotyczące sposobu głosowania przez pełnomocnika w sprawie podjęcia Uchwały. </w:t>
      </w:r>
    </w:p>
    <w:p w14:paraId="3F2D235A"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41B1F795"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instrukcji:</w:t>
      </w:r>
    </w:p>
    <w:tbl>
      <w:tblPr>
        <w:tblStyle w:val="Tabela-Siatka"/>
        <w:tblW w:w="0" w:type="auto"/>
        <w:tblLook w:val="04A0" w:firstRow="1" w:lastRow="0" w:firstColumn="1" w:lastColumn="0" w:noHBand="0" w:noVBand="1"/>
      </w:tblPr>
      <w:tblGrid>
        <w:gridCol w:w="9062"/>
      </w:tblGrid>
      <w:tr w:rsidR="004E396D" w:rsidRPr="002C24BD" w14:paraId="6E3F2079" w14:textId="77777777" w:rsidTr="00157115">
        <w:trPr>
          <w:trHeight w:val="590"/>
        </w:trPr>
        <w:tc>
          <w:tcPr>
            <w:tcW w:w="9180" w:type="dxa"/>
          </w:tcPr>
          <w:p w14:paraId="6373D855"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06CDBBDF"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1DACFB82"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10396520" w14:textId="77777777" w:rsidR="004E396D" w:rsidRPr="002C24BD" w:rsidRDefault="004E396D" w:rsidP="004E396D">
      <w:pPr>
        <w:autoSpaceDE w:val="0"/>
        <w:autoSpaceDN w:val="0"/>
        <w:adjustRightInd w:val="0"/>
        <w:spacing w:after="0" w:line="240" w:lineRule="auto"/>
        <w:jc w:val="both"/>
        <w:rPr>
          <w:rFonts w:ascii="Calibri Light" w:hAnsi="Calibri Light" w:cs="Calibri Light"/>
          <w:b/>
          <w:bCs/>
          <w:color w:val="000000"/>
          <w:sz w:val="18"/>
          <w:szCs w:val="18"/>
        </w:rPr>
      </w:pPr>
      <w:r w:rsidRPr="002C24BD">
        <w:rPr>
          <w:rFonts w:ascii="Calibri Light" w:hAnsi="Calibri Light" w:cs="Calibri Light"/>
          <w:b/>
          <w:bCs/>
          <w:color w:val="000000"/>
          <w:sz w:val="18"/>
          <w:szCs w:val="18"/>
          <w:u w:val="single"/>
        </w:rPr>
        <w:t>Instrukcje dotyczące sposobu głosowania przez pełnomocnika w przypadku, gdy treść projektu uchwały załączonej</w:t>
      </w:r>
      <w:r>
        <w:rPr>
          <w:rFonts w:ascii="Calibri Light" w:hAnsi="Calibri Light" w:cs="Calibri Light"/>
          <w:b/>
          <w:bCs/>
          <w:color w:val="000000"/>
          <w:sz w:val="18"/>
          <w:szCs w:val="18"/>
          <w:u w:val="single"/>
        </w:rPr>
        <w:t xml:space="preserve"> </w:t>
      </w:r>
      <w:r w:rsidRPr="002C24BD">
        <w:rPr>
          <w:rFonts w:ascii="Calibri Light" w:hAnsi="Calibri Light" w:cs="Calibri Light"/>
          <w:b/>
          <w:bCs/>
          <w:color w:val="000000"/>
          <w:sz w:val="18"/>
          <w:szCs w:val="18"/>
          <w:u w:val="single"/>
        </w:rPr>
        <w:t>do formularza będzie się różnić od treści uchwały poddanej pod głosowanie na Walnym Zgromadzeniu:</w:t>
      </w:r>
      <w:r w:rsidRPr="002C24BD">
        <w:rPr>
          <w:rFonts w:ascii="Calibri Light" w:hAnsi="Calibri Light" w:cs="Calibri Light"/>
          <w:b/>
          <w:bCs/>
          <w:color w:val="000000"/>
          <w:sz w:val="18"/>
          <w:szCs w:val="18"/>
        </w:rPr>
        <w:cr/>
      </w:r>
    </w:p>
    <w:p w14:paraId="04E92743"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r w:rsidRPr="002C24BD">
        <w:rPr>
          <w:rFonts w:ascii="Calibri Light" w:hAnsi="Calibri Light" w:cs="Calibri Light"/>
          <w:b/>
          <w:bCs/>
          <w:color w:val="000000"/>
          <w:sz w:val="18"/>
          <w:szCs w:val="18"/>
        </w:rPr>
        <w:t>Treść instrukcji w przypadku innego projektu uchwały:</w:t>
      </w:r>
    </w:p>
    <w:tbl>
      <w:tblPr>
        <w:tblStyle w:val="Tabela-Siatka"/>
        <w:tblW w:w="0" w:type="auto"/>
        <w:tblLook w:val="04A0" w:firstRow="1" w:lastRow="0" w:firstColumn="1" w:lastColumn="0" w:noHBand="0" w:noVBand="1"/>
      </w:tblPr>
      <w:tblGrid>
        <w:gridCol w:w="9062"/>
      </w:tblGrid>
      <w:tr w:rsidR="004E396D" w:rsidRPr="002C24BD" w14:paraId="6A5FB430" w14:textId="77777777" w:rsidTr="00157115">
        <w:trPr>
          <w:trHeight w:val="590"/>
        </w:trPr>
        <w:tc>
          <w:tcPr>
            <w:tcW w:w="9180" w:type="dxa"/>
          </w:tcPr>
          <w:p w14:paraId="7F93F660"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74908441"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672EA440"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rPr>
      </w:pPr>
    </w:p>
    <w:p w14:paraId="03602829" w14:textId="77777777" w:rsidR="004E396D" w:rsidRPr="002C24BD" w:rsidRDefault="004E396D" w:rsidP="004E396D">
      <w:pPr>
        <w:autoSpaceDE w:val="0"/>
        <w:autoSpaceDN w:val="0"/>
        <w:adjustRightInd w:val="0"/>
        <w:spacing w:after="0" w:line="240" w:lineRule="auto"/>
        <w:rPr>
          <w:rFonts w:ascii="Calibri Light" w:hAnsi="Calibri Light" w:cs="Calibri Light"/>
          <w:b/>
          <w:bCs/>
          <w:color w:val="000000"/>
          <w:sz w:val="18"/>
          <w:szCs w:val="18"/>
          <w:u w:val="single"/>
        </w:rPr>
      </w:pPr>
      <w:r w:rsidRPr="002C24BD">
        <w:rPr>
          <w:rFonts w:ascii="Calibri Light" w:hAnsi="Calibri Light" w:cs="Calibri Light"/>
          <w:b/>
          <w:bCs/>
          <w:color w:val="000000"/>
          <w:sz w:val="18"/>
          <w:szCs w:val="18"/>
          <w:u w:val="single"/>
        </w:rPr>
        <w:t>Inne uwagi:</w:t>
      </w:r>
    </w:p>
    <w:tbl>
      <w:tblPr>
        <w:tblStyle w:val="Tabela-Siatka"/>
        <w:tblW w:w="0" w:type="auto"/>
        <w:tblLook w:val="04A0" w:firstRow="1" w:lastRow="0" w:firstColumn="1" w:lastColumn="0" w:noHBand="0" w:noVBand="1"/>
      </w:tblPr>
      <w:tblGrid>
        <w:gridCol w:w="9062"/>
      </w:tblGrid>
      <w:tr w:rsidR="004E396D" w:rsidRPr="002C24BD" w14:paraId="37DD1BC3" w14:textId="77777777" w:rsidTr="00157115">
        <w:trPr>
          <w:trHeight w:val="590"/>
        </w:trPr>
        <w:tc>
          <w:tcPr>
            <w:tcW w:w="9180" w:type="dxa"/>
          </w:tcPr>
          <w:p w14:paraId="1AF15881" w14:textId="77777777" w:rsidR="004E396D" w:rsidRPr="002C24BD" w:rsidRDefault="004E396D" w:rsidP="00157115">
            <w:pPr>
              <w:autoSpaceDE w:val="0"/>
              <w:autoSpaceDN w:val="0"/>
              <w:adjustRightInd w:val="0"/>
              <w:rPr>
                <w:rFonts w:ascii="Calibri Light" w:hAnsi="Calibri Light" w:cs="Calibri Light"/>
                <w:b/>
                <w:bCs/>
                <w:color w:val="000000"/>
                <w:sz w:val="18"/>
                <w:szCs w:val="18"/>
              </w:rPr>
            </w:pPr>
          </w:p>
        </w:tc>
      </w:tr>
    </w:tbl>
    <w:p w14:paraId="387EEBF2" w14:textId="77777777" w:rsidR="004E396D" w:rsidRPr="002C24BD" w:rsidRDefault="004E396D" w:rsidP="004E396D">
      <w:pPr>
        <w:spacing w:after="0" w:line="288" w:lineRule="auto"/>
        <w:ind w:left="851" w:hanging="851"/>
        <w:contextualSpacing/>
        <w:outlineLvl w:val="0"/>
        <w:rPr>
          <w:rFonts w:ascii="Calibri Light" w:hAnsi="Calibri Light" w:cs="Calibri Light"/>
          <w:b/>
          <w:bCs/>
          <w:color w:val="000000"/>
          <w:sz w:val="18"/>
          <w:szCs w:val="18"/>
          <w:highlight w:val="yellow"/>
        </w:rPr>
      </w:pPr>
    </w:p>
    <w:sectPr w:rsidR="004E396D" w:rsidRPr="002C24BD">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8C243" w14:textId="77777777" w:rsidR="00B55FEC" w:rsidRPr="00685729" w:rsidRDefault="00B55FEC" w:rsidP="00AD02D6">
      <w:pPr>
        <w:spacing w:after="0" w:line="240" w:lineRule="auto"/>
      </w:pPr>
      <w:r w:rsidRPr="00685729">
        <w:separator/>
      </w:r>
    </w:p>
  </w:endnote>
  <w:endnote w:type="continuationSeparator" w:id="0">
    <w:p w14:paraId="4A811864" w14:textId="77777777" w:rsidR="00B55FEC" w:rsidRPr="00685729" w:rsidRDefault="00B55FEC" w:rsidP="00AD02D6">
      <w:pPr>
        <w:spacing w:after="0" w:line="240" w:lineRule="auto"/>
      </w:pPr>
      <w:r w:rsidRPr="00685729">
        <w:continuationSeparator/>
      </w:r>
    </w:p>
  </w:endnote>
  <w:endnote w:type="continuationNotice" w:id="1">
    <w:p w14:paraId="4B10A46A" w14:textId="77777777" w:rsidR="00B55FEC" w:rsidRPr="00685729" w:rsidRDefault="00B55F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4D7C" w14:textId="77777777" w:rsidR="009F0CFC" w:rsidRPr="00685729" w:rsidRDefault="009F0CFC" w:rsidP="009F0CFC">
    <w:pPr>
      <w:pStyle w:val="Stopka"/>
      <w:jc w:val="center"/>
    </w:pPr>
    <w:r w:rsidRPr="00685729">
      <w:rPr>
        <w:noProof/>
        <w:lang w:eastAsia="pl-PL"/>
      </w:rPr>
      <mc:AlternateContent>
        <mc:Choice Requires="wps">
          <w:drawing>
            <wp:anchor distT="4294967295" distB="4294967295" distL="114300" distR="114300" simplePos="0" relativeHeight="251658241" behindDoc="0" locked="0" layoutInCell="1" allowOverlap="1" wp14:anchorId="63CFF3F7" wp14:editId="3BCF24A6">
              <wp:simplePos x="0" y="0"/>
              <wp:positionH relativeFrom="column">
                <wp:posOffset>13970</wp:posOffset>
              </wp:positionH>
              <wp:positionV relativeFrom="paragraph">
                <wp:posOffset>1269</wp:posOffset>
              </wp:positionV>
              <wp:extent cx="5934075" cy="0"/>
              <wp:effectExtent l="0" t="0" r="28575" b="1905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407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B642860" id="Łącznik prosty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pt,.1pt" to="468.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" strokecolor="#4a7ebb">
              <o:lock v:ext="edit" shapetype="f"/>
            </v:line>
          </w:pict>
        </mc:Fallback>
      </mc:AlternateContent>
    </w:r>
    <w:r w:rsidRPr="00685729">
      <w:t>BIOCELTIX S</w:t>
    </w:r>
    <w:r w:rsidR="008052F6" w:rsidRPr="00685729">
      <w:t>.A.</w:t>
    </w:r>
  </w:p>
  <w:p w14:paraId="20F23B88" w14:textId="59026699" w:rsidR="009F0CFC" w:rsidRPr="00685729" w:rsidRDefault="009F0CFC" w:rsidP="009F0CFC">
    <w:pPr>
      <w:pStyle w:val="Stopka"/>
      <w:jc w:val="center"/>
    </w:pPr>
    <w:r w:rsidRPr="00685729">
      <w:t xml:space="preserve">Adres: ul. </w:t>
    </w:r>
    <w:r w:rsidR="00D62FB7" w:rsidRPr="00685729">
      <w:t>Bierutowska 57-59</w:t>
    </w:r>
    <w:r w:rsidRPr="00685729">
      <w:t>,</w:t>
    </w:r>
    <w:r w:rsidR="00D62FB7" w:rsidRPr="00685729">
      <w:t xml:space="preserve"> bud. III,</w:t>
    </w:r>
    <w:r w:rsidRPr="00685729">
      <w:t xml:space="preserve"> 5</w:t>
    </w:r>
    <w:r w:rsidR="00D62FB7" w:rsidRPr="00685729">
      <w:t>1</w:t>
    </w:r>
    <w:r w:rsidRPr="00685729">
      <w:t>-3</w:t>
    </w:r>
    <w:r w:rsidR="00D62FB7" w:rsidRPr="00685729">
      <w:t>17</w:t>
    </w:r>
    <w:r w:rsidRPr="00685729">
      <w:t xml:space="preserve"> Wrocław</w:t>
    </w:r>
  </w:p>
  <w:p w14:paraId="1962D5D6" w14:textId="0E50008B" w:rsidR="009F0CFC" w:rsidRPr="00685729" w:rsidRDefault="009F0CFC" w:rsidP="00A438AC">
    <w:pPr>
      <w:pStyle w:val="Stopka"/>
      <w:jc w:val="center"/>
    </w:pPr>
    <w:r w:rsidRPr="00685729">
      <w:t>tel.: +48</w:t>
    </w:r>
    <w:r w:rsidR="001401B9" w:rsidRPr="00685729">
      <w:t> 534-373-808</w:t>
    </w:r>
    <w:r w:rsidR="00A438AC" w:rsidRPr="00685729">
      <w:t xml:space="preserve">, </w:t>
    </w:r>
    <w:r w:rsidRPr="00685729">
      <w:t>e-mail: office@bioceltix.com</w:t>
    </w:r>
  </w:p>
  <w:p w14:paraId="7FB222FE" w14:textId="6AB97F5A" w:rsidR="00AD02D6" w:rsidRPr="00685729" w:rsidRDefault="009F0CFC" w:rsidP="009F0CFC">
    <w:pPr>
      <w:pStyle w:val="Stopka"/>
      <w:jc w:val="center"/>
    </w:pPr>
    <w:r w:rsidRPr="00685729">
      <w:t>KRS: 0000</w:t>
    </w:r>
    <w:r w:rsidR="006A4592" w:rsidRPr="00685729">
      <w:t>744521</w:t>
    </w:r>
    <w:r w:rsidRPr="00685729">
      <w:t>, NIP: 899-27-94-360, REGON: 364963245</w:t>
    </w:r>
    <w:r w:rsidR="00A438AC" w:rsidRPr="00685729">
      <w:t>, BDO 000132874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C4D0F" w14:textId="77777777" w:rsidR="00B55FEC" w:rsidRPr="00685729" w:rsidRDefault="00B55FEC" w:rsidP="00AD02D6">
      <w:pPr>
        <w:spacing w:after="0" w:line="240" w:lineRule="auto"/>
      </w:pPr>
      <w:r w:rsidRPr="00685729">
        <w:separator/>
      </w:r>
    </w:p>
  </w:footnote>
  <w:footnote w:type="continuationSeparator" w:id="0">
    <w:p w14:paraId="171D5FD2" w14:textId="77777777" w:rsidR="00B55FEC" w:rsidRPr="00685729" w:rsidRDefault="00B55FEC" w:rsidP="00AD02D6">
      <w:pPr>
        <w:spacing w:after="0" w:line="240" w:lineRule="auto"/>
      </w:pPr>
      <w:r w:rsidRPr="00685729">
        <w:continuationSeparator/>
      </w:r>
    </w:p>
  </w:footnote>
  <w:footnote w:type="continuationNotice" w:id="1">
    <w:p w14:paraId="4228C014" w14:textId="77777777" w:rsidR="00B55FEC" w:rsidRPr="00685729" w:rsidRDefault="00B55F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5EE6" w14:textId="77777777" w:rsidR="00AD02D6" w:rsidRPr="00685729" w:rsidRDefault="009F0CFC" w:rsidP="00415931">
    <w:pPr>
      <w:pStyle w:val="Nagwek"/>
      <w:jc w:val="center"/>
    </w:pPr>
    <w:r w:rsidRPr="00685729">
      <w:rPr>
        <w:noProof/>
        <w:lang w:eastAsia="pl-PL"/>
      </w:rPr>
      <w:drawing>
        <wp:anchor distT="0" distB="0" distL="114300" distR="114300" simplePos="0" relativeHeight="251658240" behindDoc="0" locked="0" layoutInCell="1" allowOverlap="1" wp14:anchorId="14DD21EC" wp14:editId="0ADD21C1">
          <wp:simplePos x="0" y="0"/>
          <wp:positionH relativeFrom="margin">
            <wp:posOffset>1847850</wp:posOffset>
          </wp:positionH>
          <wp:positionV relativeFrom="paragraph">
            <wp:posOffset>-316230</wp:posOffset>
          </wp:positionV>
          <wp:extent cx="2286000" cy="762000"/>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6000" cy="76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212"/>
    <w:multiLevelType w:val="hybridMultilevel"/>
    <w:tmpl w:val="D0F020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0CD6602"/>
    <w:multiLevelType w:val="hybridMultilevel"/>
    <w:tmpl w:val="6F64B92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17349FE"/>
    <w:multiLevelType w:val="hybridMultilevel"/>
    <w:tmpl w:val="21123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FC7BFD"/>
    <w:multiLevelType w:val="hybridMultilevel"/>
    <w:tmpl w:val="DAC65B64"/>
    <w:lvl w:ilvl="0" w:tplc="620E2D4E">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8E1461C"/>
    <w:multiLevelType w:val="hybridMultilevel"/>
    <w:tmpl w:val="AFF26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9332117"/>
    <w:multiLevelType w:val="hybridMultilevel"/>
    <w:tmpl w:val="6D48CF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9407BBE"/>
    <w:multiLevelType w:val="multilevel"/>
    <w:tmpl w:val="E3B41104"/>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B916D18"/>
    <w:multiLevelType w:val="multilevel"/>
    <w:tmpl w:val="DDF0CEBE"/>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20"/>
        <w:vertAlign w:val="baseline"/>
      </w:rPr>
    </w:lvl>
    <w:lvl w:ilvl="3">
      <w:start w:val="1"/>
      <w:numFmt w:val="lowerRoman"/>
      <w:lvlText w:val="(%4)"/>
      <w:lvlJc w:val="left"/>
      <w:pPr>
        <w:ind w:left="992" w:hanging="425"/>
      </w:pPr>
      <w:rPr>
        <w:rFonts w:ascii="Arial" w:hAnsi="Arial" w:hint="default"/>
        <w:b w:val="0"/>
        <w:i w:val="0"/>
        <w:caps w:val="0"/>
        <w:strike w:val="0"/>
        <w:dstrike w:val="0"/>
        <w:vanish w:val="0"/>
        <w:sz w:val="20"/>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EC37E94"/>
    <w:multiLevelType w:val="hybridMultilevel"/>
    <w:tmpl w:val="7AA2FD06"/>
    <w:lvl w:ilvl="0" w:tplc="61B83322">
      <w:start w:val="1"/>
      <w:numFmt w:val="decimal"/>
      <w:lvlText w:val="%1."/>
      <w:lvlJc w:val="left"/>
      <w:pPr>
        <w:ind w:left="364"/>
      </w:pPr>
      <w:rPr>
        <w:rFonts w:ascii="Calibri Light" w:eastAsia="Bookman Old Style" w:hAnsi="Calibri Light" w:cs="Calibri Light" w:hint="default"/>
        <w:b w:val="0"/>
        <w:i/>
        <w:iCs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1C0F26"/>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92A137B"/>
    <w:multiLevelType w:val="multilevel"/>
    <w:tmpl w:val="AD88EC2E"/>
    <w:numStyleLink w:val="Jakub-paragrafowy"/>
  </w:abstractNum>
  <w:abstractNum w:abstractNumId="11" w15:restartNumberingAfterBreak="0">
    <w:nsid w:val="1C7D1ECD"/>
    <w:multiLevelType w:val="hybridMultilevel"/>
    <w:tmpl w:val="19F8A30E"/>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1D893A9A"/>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DD80EF9"/>
    <w:multiLevelType w:val="hybridMultilevel"/>
    <w:tmpl w:val="FD401A74"/>
    <w:lvl w:ilvl="0" w:tplc="5E4E2C92">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0B857E1"/>
    <w:multiLevelType w:val="hybridMultilevel"/>
    <w:tmpl w:val="640CA9B2"/>
    <w:lvl w:ilvl="0" w:tplc="67F8ED8E">
      <w:start w:val="1"/>
      <w:numFmt w:val="decimal"/>
      <w:lvlText w:val="%1."/>
      <w:lvlJc w:val="left"/>
      <w:pPr>
        <w:ind w:left="422"/>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B7F02B80">
      <w:start w:val="1"/>
      <w:numFmt w:val="lowerLetter"/>
      <w:lvlText w:val="%2)"/>
      <w:lvlJc w:val="left"/>
      <w:pPr>
        <w:ind w:left="797"/>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2" w:tplc="6E124160">
      <w:start w:val="1"/>
      <w:numFmt w:val="lowerRoman"/>
      <w:lvlText w:val="%3"/>
      <w:lvlJc w:val="left"/>
      <w:pPr>
        <w:ind w:left="15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68A4EF36">
      <w:start w:val="1"/>
      <w:numFmt w:val="decimal"/>
      <w:lvlText w:val="%4"/>
      <w:lvlJc w:val="left"/>
      <w:pPr>
        <w:ind w:left="223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8E5AA172">
      <w:start w:val="1"/>
      <w:numFmt w:val="lowerLetter"/>
      <w:lvlText w:val="%5"/>
      <w:lvlJc w:val="left"/>
      <w:pPr>
        <w:ind w:left="295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39CC9F66">
      <w:start w:val="1"/>
      <w:numFmt w:val="lowerRoman"/>
      <w:lvlText w:val="%6"/>
      <w:lvlJc w:val="left"/>
      <w:pPr>
        <w:ind w:left="367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7E808E50">
      <w:start w:val="1"/>
      <w:numFmt w:val="decimal"/>
      <w:lvlText w:val="%7"/>
      <w:lvlJc w:val="left"/>
      <w:pPr>
        <w:ind w:left="439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351860E2">
      <w:start w:val="1"/>
      <w:numFmt w:val="lowerLetter"/>
      <w:lvlText w:val="%8"/>
      <w:lvlJc w:val="left"/>
      <w:pPr>
        <w:ind w:left="511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1D8E1A44">
      <w:start w:val="1"/>
      <w:numFmt w:val="lowerRoman"/>
      <w:lvlText w:val="%9"/>
      <w:lvlJc w:val="left"/>
      <w:pPr>
        <w:ind w:left="5837"/>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1A44EB0"/>
    <w:multiLevelType w:val="hybridMultilevel"/>
    <w:tmpl w:val="65ACF28A"/>
    <w:lvl w:ilvl="0" w:tplc="0415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5F56F96"/>
    <w:multiLevelType w:val="hybridMultilevel"/>
    <w:tmpl w:val="22B4D0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61C2D79"/>
    <w:multiLevelType w:val="hybridMultilevel"/>
    <w:tmpl w:val="517423D2"/>
    <w:lvl w:ilvl="0" w:tplc="5E4E2C92">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68323EC"/>
    <w:multiLevelType w:val="hybridMultilevel"/>
    <w:tmpl w:val="A922220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80E5FB5"/>
    <w:multiLevelType w:val="hybridMultilevel"/>
    <w:tmpl w:val="D5FCD0E4"/>
    <w:lvl w:ilvl="0" w:tplc="401835EC">
      <w:start w:val="1"/>
      <w:numFmt w:val="bullet"/>
      <w:lvlText w:val=""/>
      <w:lvlJc w:val="left"/>
      <w:pPr>
        <w:ind w:left="608" w:hanging="360"/>
      </w:pPr>
      <w:rPr>
        <w:rFonts w:ascii="Symbol" w:hAnsi="Symbol" w:hint="default"/>
      </w:rPr>
    </w:lvl>
    <w:lvl w:ilvl="1" w:tplc="04150003" w:tentative="1">
      <w:start w:val="1"/>
      <w:numFmt w:val="bullet"/>
      <w:lvlText w:val="o"/>
      <w:lvlJc w:val="left"/>
      <w:pPr>
        <w:ind w:left="1328" w:hanging="360"/>
      </w:pPr>
      <w:rPr>
        <w:rFonts w:ascii="Courier New" w:hAnsi="Courier New" w:cs="Courier New" w:hint="default"/>
      </w:rPr>
    </w:lvl>
    <w:lvl w:ilvl="2" w:tplc="04150005" w:tentative="1">
      <w:start w:val="1"/>
      <w:numFmt w:val="bullet"/>
      <w:lvlText w:val=""/>
      <w:lvlJc w:val="left"/>
      <w:pPr>
        <w:ind w:left="2048" w:hanging="360"/>
      </w:pPr>
      <w:rPr>
        <w:rFonts w:ascii="Wingdings" w:hAnsi="Wingdings" w:hint="default"/>
      </w:rPr>
    </w:lvl>
    <w:lvl w:ilvl="3" w:tplc="04150001" w:tentative="1">
      <w:start w:val="1"/>
      <w:numFmt w:val="bullet"/>
      <w:lvlText w:val=""/>
      <w:lvlJc w:val="left"/>
      <w:pPr>
        <w:ind w:left="2768" w:hanging="360"/>
      </w:pPr>
      <w:rPr>
        <w:rFonts w:ascii="Symbol" w:hAnsi="Symbol" w:hint="default"/>
      </w:rPr>
    </w:lvl>
    <w:lvl w:ilvl="4" w:tplc="04150003" w:tentative="1">
      <w:start w:val="1"/>
      <w:numFmt w:val="bullet"/>
      <w:lvlText w:val="o"/>
      <w:lvlJc w:val="left"/>
      <w:pPr>
        <w:ind w:left="3488" w:hanging="360"/>
      </w:pPr>
      <w:rPr>
        <w:rFonts w:ascii="Courier New" w:hAnsi="Courier New" w:cs="Courier New" w:hint="default"/>
      </w:rPr>
    </w:lvl>
    <w:lvl w:ilvl="5" w:tplc="04150005" w:tentative="1">
      <w:start w:val="1"/>
      <w:numFmt w:val="bullet"/>
      <w:lvlText w:val=""/>
      <w:lvlJc w:val="left"/>
      <w:pPr>
        <w:ind w:left="4208" w:hanging="360"/>
      </w:pPr>
      <w:rPr>
        <w:rFonts w:ascii="Wingdings" w:hAnsi="Wingdings" w:hint="default"/>
      </w:rPr>
    </w:lvl>
    <w:lvl w:ilvl="6" w:tplc="04150001" w:tentative="1">
      <w:start w:val="1"/>
      <w:numFmt w:val="bullet"/>
      <w:lvlText w:val=""/>
      <w:lvlJc w:val="left"/>
      <w:pPr>
        <w:ind w:left="4928" w:hanging="360"/>
      </w:pPr>
      <w:rPr>
        <w:rFonts w:ascii="Symbol" w:hAnsi="Symbol" w:hint="default"/>
      </w:rPr>
    </w:lvl>
    <w:lvl w:ilvl="7" w:tplc="04150003" w:tentative="1">
      <w:start w:val="1"/>
      <w:numFmt w:val="bullet"/>
      <w:lvlText w:val="o"/>
      <w:lvlJc w:val="left"/>
      <w:pPr>
        <w:ind w:left="5648" w:hanging="360"/>
      </w:pPr>
      <w:rPr>
        <w:rFonts w:ascii="Courier New" w:hAnsi="Courier New" w:cs="Courier New" w:hint="default"/>
      </w:rPr>
    </w:lvl>
    <w:lvl w:ilvl="8" w:tplc="04150005" w:tentative="1">
      <w:start w:val="1"/>
      <w:numFmt w:val="bullet"/>
      <w:lvlText w:val=""/>
      <w:lvlJc w:val="left"/>
      <w:pPr>
        <w:ind w:left="6368" w:hanging="360"/>
      </w:pPr>
      <w:rPr>
        <w:rFonts w:ascii="Wingdings" w:hAnsi="Wingdings" w:hint="default"/>
      </w:rPr>
    </w:lvl>
  </w:abstractNum>
  <w:abstractNum w:abstractNumId="20" w15:restartNumberingAfterBreak="0">
    <w:nsid w:val="2BCE2C0B"/>
    <w:multiLevelType w:val="hybridMultilevel"/>
    <w:tmpl w:val="21947F90"/>
    <w:lvl w:ilvl="0" w:tplc="2B469864">
      <w:start w:val="1"/>
      <w:numFmt w:val="decimal"/>
      <w:lvlText w:val="%1."/>
      <w:lvlJc w:val="left"/>
      <w:pPr>
        <w:ind w:left="353"/>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7E1EE1FA">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51600C0">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35F08CCE">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22E4027A">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4AC83030">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16340DE0">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8A9CF63C">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25B618F0">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D1A6A2F"/>
    <w:multiLevelType w:val="hybridMultilevel"/>
    <w:tmpl w:val="3626B868"/>
    <w:lvl w:ilvl="0" w:tplc="E286F43A">
      <w:start w:val="1"/>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F1E47AA"/>
    <w:multiLevelType w:val="multilevel"/>
    <w:tmpl w:val="ABF69E0E"/>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2"/>
        <w:u w:val="none"/>
        <w:lang w:val="pl-PL" w:eastAsia="pl-PL" w:bidi="pl-PL"/>
      </w:rPr>
    </w:lvl>
    <w:lvl w:ilvl="1">
      <w:start w:val="1"/>
      <w:numFmt w:val="decimal"/>
      <w:lvlText w:val="%2)"/>
      <w:lvlJc w:val="left"/>
      <w:rPr>
        <w:rFonts w:hint="default"/>
        <w:sz w:val="20"/>
      </w:rPr>
    </w:lvl>
    <w:lvl w:ilvl="2">
      <w:start w:val="1"/>
      <w:numFmt w:val="lowerLetter"/>
      <w:lvlText w:val="%3)"/>
      <w:lvlJc w:val="left"/>
      <w:rPr>
        <w:rFonts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F586F24"/>
    <w:multiLevelType w:val="hybridMultilevel"/>
    <w:tmpl w:val="08B0C0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B835757"/>
    <w:multiLevelType w:val="hybridMultilevel"/>
    <w:tmpl w:val="EA1A665A"/>
    <w:lvl w:ilvl="0" w:tplc="04150011">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C38021B"/>
    <w:multiLevelType w:val="hybridMultilevel"/>
    <w:tmpl w:val="E2AC6E14"/>
    <w:lvl w:ilvl="0" w:tplc="BEB8382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C3F0234"/>
    <w:multiLevelType w:val="multilevel"/>
    <w:tmpl w:val="AD88EC2E"/>
    <w:numStyleLink w:val="Jakub-paragrafowy"/>
  </w:abstractNum>
  <w:abstractNum w:abstractNumId="27" w15:restartNumberingAfterBreak="0">
    <w:nsid w:val="3C6C4116"/>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3E980E30"/>
    <w:multiLevelType w:val="hybridMultilevel"/>
    <w:tmpl w:val="24BC99C4"/>
    <w:lvl w:ilvl="0" w:tplc="94BEADA0">
      <w:start w:val="1"/>
      <w:numFmt w:val="decimal"/>
      <w:lvlText w:val="%1."/>
      <w:lvlJc w:val="left"/>
      <w:pPr>
        <w:ind w:left="5813"/>
      </w:pPr>
      <w:rPr>
        <w:rFonts w:ascii="Calibri Light" w:eastAsia="Bookman Old Style" w:hAnsi="Calibri Light" w:cs="Calibri Light" w:hint="default"/>
        <w:b w:val="0"/>
        <w:i/>
        <w:iCs w:val="0"/>
        <w:strike w:val="0"/>
        <w:dstrike w:val="0"/>
        <w:color w:val="000000"/>
        <w:sz w:val="18"/>
        <w:szCs w:val="18"/>
        <w:u w:val="none" w:color="000000"/>
        <w:bdr w:val="none" w:sz="0" w:space="0" w:color="auto"/>
        <w:shd w:val="clear" w:color="auto" w:fill="auto"/>
        <w:vertAlign w:val="baseline"/>
      </w:rPr>
    </w:lvl>
    <w:lvl w:ilvl="1" w:tplc="767019F2">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B5BA255A">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7348E9D8">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C44C3806">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ABB85CAA">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3E56D65C">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2B721EC4">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9300F340">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05B19BD"/>
    <w:multiLevelType w:val="hybridMultilevel"/>
    <w:tmpl w:val="4B382C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3E207CA"/>
    <w:multiLevelType w:val="hybridMultilevel"/>
    <w:tmpl w:val="811C71B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4757D97"/>
    <w:multiLevelType w:val="hybridMultilevel"/>
    <w:tmpl w:val="13AE4000"/>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B2E24062">
      <w:start w:val="6"/>
      <w:numFmt w:val="decimal"/>
      <w:lvlText w:val="%3"/>
      <w:lvlJc w:val="left"/>
      <w:pPr>
        <w:ind w:left="2766" w:hanging="360"/>
      </w:pPr>
      <w:rPr>
        <w:rFonts w:hint="default"/>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447D4252"/>
    <w:multiLevelType w:val="hybridMultilevel"/>
    <w:tmpl w:val="5B205B2C"/>
    <w:lvl w:ilvl="0" w:tplc="20E0B09E">
      <w:start w:val="1"/>
      <w:numFmt w:val="decimal"/>
      <w:lvlText w:val="%1."/>
      <w:lvlJc w:val="left"/>
      <w:pPr>
        <w:ind w:left="364"/>
      </w:pPr>
      <w:rPr>
        <w:rFonts w:ascii="Calibri Light" w:eastAsia="Bookman Old Style" w:hAnsi="Calibri Light" w:cs="Calibri Light" w:hint="default"/>
        <w:b w:val="0"/>
        <w:i/>
        <w:iCs/>
        <w:strike w:val="0"/>
        <w:dstrike w:val="0"/>
        <w:color w:val="000000"/>
        <w:sz w:val="18"/>
        <w:szCs w:val="18"/>
        <w:u w:val="none" w:color="000000"/>
        <w:bdr w:val="none" w:sz="0" w:space="0" w:color="auto"/>
        <w:shd w:val="clear" w:color="auto" w:fill="auto"/>
        <w:vertAlign w:val="baseline"/>
      </w:rPr>
    </w:lvl>
    <w:lvl w:ilvl="1" w:tplc="CFDC9F84">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2A90462A">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456EF290">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1E32BB62">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0F7C7B3C">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540A9A6A">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5364BBE4">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A830C868">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4A77986"/>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79E3856"/>
    <w:multiLevelType w:val="hybridMultilevel"/>
    <w:tmpl w:val="5536567C"/>
    <w:lvl w:ilvl="0" w:tplc="FFFFFFFF">
      <w:start w:val="1"/>
      <w:numFmt w:val="decimal"/>
      <w:lvlText w:val="%1."/>
      <w:lvlJc w:val="left"/>
      <w:pPr>
        <w:ind w:left="458" w:hanging="396"/>
      </w:pPr>
      <w:rPr>
        <w:rFonts w:hint="default"/>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5" w15:restartNumberingAfterBreak="0">
    <w:nsid w:val="48786FA9"/>
    <w:multiLevelType w:val="hybridMultilevel"/>
    <w:tmpl w:val="5536567C"/>
    <w:lvl w:ilvl="0" w:tplc="C3BE01D2">
      <w:start w:val="1"/>
      <w:numFmt w:val="decimal"/>
      <w:lvlText w:val="%1."/>
      <w:lvlJc w:val="left"/>
      <w:pPr>
        <w:ind w:left="458" w:hanging="396"/>
      </w:pPr>
      <w:rPr>
        <w:rFonts w:hint="default"/>
      </w:rPr>
    </w:lvl>
    <w:lvl w:ilvl="1" w:tplc="04150019" w:tentative="1">
      <w:start w:val="1"/>
      <w:numFmt w:val="lowerLetter"/>
      <w:lvlText w:val="%2."/>
      <w:lvlJc w:val="left"/>
      <w:pPr>
        <w:ind w:left="1142" w:hanging="360"/>
      </w:pPr>
    </w:lvl>
    <w:lvl w:ilvl="2" w:tplc="0415001B" w:tentative="1">
      <w:start w:val="1"/>
      <w:numFmt w:val="lowerRoman"/>
      <w:lvlText w:val="%3."/>
      <w:lvlJc w:val="right"/>
      <w:pPr>
        <w:ind w:left="1862" w:hanging="180"/>
      </w:pPr>
    </w:lvl>
    <w:lvl w:ilvl="3" w:tplc="0415000F" w:tentative="1">
      <w:start w:val="1"/>
      <w:numFmt w:val="decimal"/>
      <w:lvlText w:val="%4."/>
      <w:lvlJc w:val="left"/>
      <w:pPr>
        <w:ind w:left="2582" w:hanging="360"/>
      </w:pPr>
    </w:lvl>
    <w:lvl w:ilvl="4" w:tplc="04150019" w:tentative="1">
      <w:start w:val="1"/>
      <w:numFmt w:val="lowerLetter"/>
      <w:lvlText w:val="%5."/>
      <w:lvlJc w:val="left"/>
      <w:pPr>
        <w:ind w:left="3302" w:hanging="360"/>
      </w:pPr>
    </w:lvl>
    <w:lvl w:ilvl="5" w:tplc="0415001B" w:tentative="1">
      <w:start w:val="1"/>
      <w:numFmt w:val="lowerRoman"/>
      <w:lvlText w:val="%6."/>
      <w:lvlJc w:val="right"/>
      <w:pPr>
        <w:ind w:left="4022" w:hanging="180"/>
      </w:pPr>
    </w:lvl>
    <w:lvl w:ilvl="6" w:tplc="0415000F" w:tentative="1">
      <w:start w:val="1"/>
      <w:numFmt w:val="decimal"/>
      <w:lvlText w:val="%7."/>
      <w:lvlJc w:val="left"/>
      <w:pPr>
        <w:ind w:left="4742" w:hanging="360"/>
      </w:pPr>
    </w:lvl>
    <w:lvl w:ilvl="7" w:tplc="04150019" w:tentative="1">
      <w:start w:val="1"/>
      <w:numFmt w:val="lowerLetter"/>
      <w:lvlText w:val="%8."/>
      <w:lvlJc w:val="left"/>
      <w:pPr>
        <w:ind w:left="5462" w:hanging="360"/>
      </w:pPr>
    </w:lvl>
    <w:lvl w:ilvl="8" w:tplc="0415001B" w:tentative="1">
      <w:start w:val="1"/>
      <w:numFmt w:val="lowerRoman"/>
      <w:lvlText w:val="%9."/>
      <w:lvlJc w:val="right"/>
      <w:pPr>
        <w:ind w:left="6182" w:hanging="180"/>
      </w:pPr>
    </w:lvl>
  </w:abstractNum>
  <w:abstractNum w:abstractNumId="36" w15:restartNumberingAfterBreak="0">
    <w:nsid w:val="487D2375"/>
    <w:multiLevelType w:val="hybridMultilevel"/>
    <w:tmpl w:val="84E48DB8"/>
    <w:lvl w:ilvl="0" w:tplc="04150017">
      <w:start w:val="1"/>
      <w:numFmt w:val="lowerLetter"/>
      <w:lvlText w:val="%1)"/>
      <w:lvlJc w:val="left"/>
      <w:pPr>
        <w:ind w:left="1224" w:hanging="360"/>
      </w:pPr>
    </w:lvl>
    <w:lvl w:ilvl="1" w:tplc="04150017">
      <w:start w:val="1"/>
      <w:numFmt w:val="lowerLetter"/>
      <w:lvlText w:val="%2)"/>
      <w:lvlJc w:val="left"/>
      <w:pPr>
        <w:ind w:left="1944" w:hanging="360"/>
      </w:pPr>
    </w:lvl>
    <w:lvl w:ilvl="2" w:tplc="0415001B" w:tentative="1">
      <w:start w:val="1"/>
      <w:numFmt w:val="lowerRoman"/>
      <w:lvlText w:val="%3."/>
      <w:lvlJc w:val="right"/>
      <w:pPr>
        <w:ind w:left="2664" w:hanging="180"/>
      </w:pPr>
    </w:lvl>
    <w:lvl w:ilvl="3" w:tplc="0415000F" w:tentative="1">
      <w:start w:val="1"/>
      <w:numFmt w:val="decimal"/>
      <w:lvlText w:val="%4."/>
      <w:lvlJc w:val="left"/>
      <w:pPr>
        <w:ind w:left="3384" w:hanging="360"/>
      </w:pPr>
    </w:lvl>
    <w:lvl w:ilvl="4" w:tplc="04150019" w:tentative="1">
      <w:start w:val="1"/>
      <w:numFmt w:val="lowerLetter"/>
      <w:lvlText w:val="%5."/>
      <w:lvlJc w:val="left"/>
      <w:pPr>
        <w:ind w:left="4104" w:hanging="360"/>
      </w:pPr>
    </w:lvl>
    <w:lvl w:ilvl="5" w:tplc="0415001B" w:tentative="1">
      <w:start w:val="1"/>
      <w:numFmt w:val="lowerRoman"/>
      <w:lvlText w:val="%6."/>
      <w:lvlJc w:val="right"/>
      <w:pPr>
        <w:ind w:left="4824" w:hanging="180"/>
      </w:pPr>
    </w:lvl>
    <w:lvl w:ilvl="6" w:tplc="0415000F" w:tentative="1">
      <w:start w:val="1"/>
      <w:numFmt w:val="decimal"/>
      <w:lvlText w:val="%7."/>
      <w:lvlJc w:val="left"/>
      <w:pPr>
        <w:ind w:left="5544" w:hanging="360"/>
      </w:pPr>
    </w:lvl>
    <w:lvl w:ilvl="7" w:tplc="04150019" w:tentative="1">
      <w:start w:val="1"/>
      <w:numFmt w:val="lowerLetter"/>
      <w:lvlText w:val="%8."/>
      <w:lvlJc w:val="left"/>
      <w:pPr>
        <w:ind w:left="6264" w:hanging="360"/>
      </w:pPr>
    </w:lvl>
    <w:lvl w:ilvl="8" w:tplc="0415001B" w:tentative="1">
      <w:start w:val="1"/>
      <w:numFmt w:val="lowerRoman"/>
      <w:lvlText w:val="%9."/>
      <w:lvlJc w:val="right"/>
      <w:pPr>
        <w:ind w:left="6984" w:hanging="180"/>
      </w:pPr>
    </w:lvl>
  </w:abstractNum>
  <w:abstractNum w:abstractNumId="37" w15:restartNumberingAfterBreak="0">
    <w:nsid w:val="4B473570"/>
    <w:multiLevelType w:val="hybridMultilevel"/>
    <w:tmpl w:val="94BECD4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CD12D77C">
      <w:start w:val="62"/>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D91AFE"/>
    <w:multiLevelType w:val="hybridMultilevel"/>
    <w:tmpl w:val="920EA84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C313203"/>
    <w:multiLevelType w:val="hybridMultilevel"/>
    <w:tmpl w:val="C8D4F802"/>
    <w:lvl w:ilvl="0" w:tplc="FF863EE8">
      <w:start w:val="1"/>
      <w:numFmt w:val="decimal"/>
      <w:lvlText w:val="%1."/>
      <w:lvlJc w:val="left"/>
      <w:pPr>
        <w:ind w:left="343"/>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84589F7E">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2A5EBE98">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5B623B7E">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D1C29076">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83DAA528">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7A5221E0">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F648D182">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F878A5F0">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9450070"/>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A6B0548"/>
    <w:multiLevelType w:val="hybridMultilevel"/>
    <w:tmpl w:val="80083A2E"/>
    <w:lvl w:ilvl="0" w:tplc="4852C6C8">
      <w:start w:val="1"/>
      <w:numFmt w:val="decimal"/>
      <w:lvlText w:val="%1."/>
      <w:lvlJc w:val="left"/>
      <w:pPr>
        <w:ind w:left="364"/>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4BCC25BA">
      <w:start w:val="1"/>
      <w:numFmt w:val="lowerLetter"/>
      <w:lvlText w:val="%2)"/>
      <w:lvlJc w:val="left"/>
      <w:pPr>
        <w:ind w:left="658"/>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970C510C">
      <w:start w:val="1"/>
      <w:numFmt w:val="lowerRoman"/>
      <w:lvlText w:val="%3"/>
      <w:lvlJc w:val="left"/>
      <w:pPr>
        <w:ind w:left="13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B8729FD0">
      <w:start w:val="1"/>
      <w:numFmt w:val="decimal"/>
      <w:lvlText w:val="%4"/>
      <w:lvlJc w:val="left"/>
      <w:pPr>
        <w:ind w:left="20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6D0A93B6">
      <w:start w:val="1"/>
      <w:numFmt w:val="lowerLetter"/>
      <w:lvlText w:val="%5"/>
      <w:lvlJc w:val="left"/>
      <w:pPr>
        <w:ind w:left="280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5B50A99E">
      <w:start w:val="1"/>
      <w:numFmt w:val="lowerRoman"/>
      <w:lvlText w:val="%6"/>
      <w:lvlJc w:val="left"/>
      <w:pPr>
        <w:ind w:left="352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A1885FB0">
      <w:start w:val="1"/>
      <w:numFmt w:val="decimal"/>
      <w:lvlText w:val="%7"/>
      <w:lvlJc w:val="left"/>
      <w:pPr>
        <w:ind w:left="424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6DBA0B1A">
      <w:start w:val="1"/>
      <w:numFmt w:val="lowerLetter"/>
      <w:lvlText w:val="%8"/>
      <w:lvlJc w:val="left"/>
      <w:pPr>
        <w:ind w:left="496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23B418D6">
      <w:start w:val="1"/>
      <w:numFmt w:val="lowerRoman"/>
      <w:lvlText w:val="%9"/>
      <w:lvlJc w:val="left"/>
      <w:pPr>
        <w:ind w:left="5683"/>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CA91A5E"/>
    <w:multiLevelType w:val="hybridMultilevel"/>
    <w:tmpl w:val="74F2D51E"/>
    <w:lvl w:ilvl="0" w:tplc="04150017">
      <w:start w:val="1"/>
      <w:numFmt w:val="lowerLetter"/>
      <w:lvlText w:val="%1)"/>
      <w:lvlJc w:val="left"/>
      <w:pPr>
        <w:ind w:left="1146" w:hanging="360"/>
      </w:pPr>
    </w:lvl>
    <w:lvl w:ilvl="1" w:tplc="04150017">
      <w:start w:val="1"/>
      <w:numFmt w:val="lowerLetter"/>
      <w:lvlText w:val="%2)"/>
      <w:lvlJc w:val="left"/>
      <w:pPr>
        <w:ind w:left="9433"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6AE6373D"/>
    <w:multiLevelType w:val="hybridMultilevel"/>
    <w:tmpl w:val="E9F4D292"/>
    <w:lvl w:ilvl="0" w:tplc="04150017">
      <w:start w:val="1"/>
      <w:numFmt w:val="lowerLetter"/>
      <w:lvlText w:val="%1)"/>
      <w:lvlJc w:val="left"/>
      <w:pPr>
        <w:ind w:left="750" w:hanging="360"/>
      </w:pPr>
      <w:rPr>
        <w:rFonts w:hint="default"/>
        <w:sz w:val="20"/>
        <w:szCs w:val="20"/>
      </w:rPr>
    </w:lvl>
    <w:lvl w:ilvl="1" w:tplc="BA76EF3E">
      <w:start w:val="1"/>
      <w:numFmt w:val="lowerRoman"/>
      <w:lvlText w:val="(%2)"/>
      <w:lvlJc w:val="left"/>
      <w:pPr>
        <w:ind w:left="1470" w:hanging="360"/>
      </w:pPr>
      <w:rPr>
        <w:rFonts w:hint="default"/>
      </w:r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44" w15:restartNumberingAfterBreak="0">
    <w:nsid w:val="6B5B43D9"/>
    <w:multiLevelType w:val="hybridMultilevel"/>
    <w:tmpl w:val="2F6CCA1A"/>
    <w:lvl w:ilvl="0" w:tplc="04150017">
      <w:start w:val="1"/>
      <w:numFmt w:val="lowerLetter"/>
      <w:lvlText w:val="%1)"/>
      <w:lvlJc w:val="left"/>
      <w:pPr>
        <w:ind w:left="1224" w:hanging="360"/>
      </w:pPr>
    </w:lvl>
    <w:lvl w:ilvl="1" w:tplc="04150019" w:tentative="1">
      <w:start w:val="1"/>
      <w:numFmt w:val="lowerLetter"/>
      <w:lvlText w:val="%2."/>
      <w:lvlJc w:val="left"/>
      <w:pPr>
        <w:ind w:left="1944" w:hanging="360"/>
      </w:pPr>
    </w:lvl>
    <w:lvl w:ilvl="2" w:tplc="0415001B" w:tentative="1">
      <w:start w:val="1"/>
      <w:numFmt w:val="lowerRoman"/>
      <w:lvlText w:val="%3."/>
      <w:lvlJc w:val="right"/>
      <w:pPr>
        <w:ind w:left="2664" w:hanging="180"/>
      </w:pPr>
    </w:lvl>
    <w:lvl w:ilvl="3" w:tplc="0415000F" w:tentative="1">
      <w:start w:val="1"/>
      <w:numFmt w:val="decimal"/>
      <w:lvlText w:val="%4."/>
      <w:lvlJc w:val="left"/>
      <w:pPr>
        <w:ind w:left="3384" w:hanging="360"/>
      </w:pPr>
    </w:lvl>
    <w:lvl w:ilvl="4" w:tplc="04150019" w:tentative="1">
      <w:start w:val="1"/>
      <w:numFmt w:val="lowerLetter"/>
      <w:lvlText w:val="%5."/>
      <w:lvlJc w:val="left"/>
      <w:pPr>
        <w:ind w:left="4104" w:hanging="360"/>
      </w:pPr>
    </w:lvl>
    <w:lvl w:ilvl="5" w:tplc="0415001B" w:tentative="1">
      <w:start w:val="1"/>
      <w:numFmt w:val="lowerRoman"/>
      <w:lvlText w:val="%6."/>
      <w:lvlJc w:val="right"/>
      <w:pPr>
        <w:ind w:left="4824" w:hanging="180"/>
      </w:pPr>
    </w:lvl>
    <w:lvl w:ilvl="6" w:tplc="0415000F" w:tentative="1">
      <w:start w:val="1"/>
      <w:numFmt w:val="decimal"/>
      <w:lvlText w:val="%7."/>
      <w:lvlJc w:val="left"/>
      <w:pPr>
        <w:ind w:left="5544" w:hanging="360"/>
      </w:pPr>
    </w:lvl>
    <w:lvl w:ilvl="7" w:tplc="04150019" w:tentative="1">
      <w:start w:val="1"/>
      <w:numFmt w:val="lowerLetter"/>
      <w:lvlText w:val="%8."/>
      <w:lvlJc w:val="left"/>
      <w:pPr>
        <w:ind w:left="6264" w:hanging="360"/>
      </w:pPr>
    </w:lvl>
    <w:lvl w:ilvl="8" w:tplc="0415001B" w:tentative="1">
      <w:start w:val="1"/>
      <w:numFmt w:val="lowerRoman"/>
      <w:lvlText w:val="%9."/>
      <w:lvlJc w:val="right"/>
      <w:pPr>
        <w:ind w:left="6984" w:hanging="180"/>
      </w:pPr>
    </w:lvl>
  </w:abstractNum>
  <w:abstractNum w:abstractNumId="45" w15:restartNumberingAfterBreak="0">
    <w:nsid w:val="6CFC3DCC"/>
    <w:multiLevelType w:val="hybridMultilevel"/>
    <w:tmpl w:val="776866BA"/>
    <w:lvl w:ilvl="0" w:tplc="699C0120">
      <w:start w:val="1"/>
      <w:numFmt w:val="decimal"/>
      <w:lvlText w:val="%1."/>
      <w:lvlJc w:val="left"/>
      <w:pPr>
        <w:ind w:left="345"/>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30EC1FAE">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A82C38F4">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610EE46E">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F97A4B9A">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A5D8B7E8">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BF2809F8">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DC3204B2">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715A0A40">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F6C5F64"/>
    <w:multiLevelType w:val="hybridMultilevel"/>
    <w:tmpl w:val="7AA2FD06"/>
    <w:lvl w:ilvl="0" w:tplc="FFFFFFFF">
      <w:start w:val="1"/>
      <w:numFmt w:val="decimal"/>
      <w:lvlText w:val="%1."/>
      <w:lvlJc w:val="left"/>
      <w:pPr>
        <w:ind w:left="364"/>
      </w:pPr>
      <w:rPr>
        <w:rFonts w:ascii="Calibri Light" w:eastAsia="Bookman Old Style" w:hAnsi="Calibri Light" w:cs="Calibri Light" w:hint="default"/>
        <w:b w:val="0"/>
        <w:i/>
        <w:iCs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6F973BE3"/>
    <w:multiLevelType w:val="hybridMultilevel"/>
    <w:tmpl w:val="6F64B9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0CD3834"/>
    <w:multiLevelType w:val="hybridMultilevel"/>
    <w:tmpl w:val="D0F020C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748C5D70"/>
    <w:multiLevelType w:val="multilevel"/>
    <w:tmpl w:val="AD88EC2E"/>
    <w:styleLink w:val="Jakub-paragrafowy"/>
    <w:lvl w:ilvl="0">
      <w:start w:val="1"/>
      <w:numFmt w:val="decimal"/>
      <w:lvlText w:val="§ %1"/>
      <w:lvlJc w:val="center"/>
      <w:pPr>
        <w:ind w:left="567" w:hanging="283"/>
      </w:pPr>
      <w:rPr>
        <w:rFonts w:ascii="Arial" w:hAnsi="Arial" w:hint="default"/>
        <w:b w:val="0"/>
        <w:i w:val="0"/>
        <w:caps w:val="0"/>
        <w:strike w:val="0"/>
        <w:dstrike w:val="0"/>
        <w:vanish w:val="0"/>
        <w:sz w:val="20"/>
        <w:vertAlign w:val="baseline"/>
      </w:rPr>
    </w:lvl>
    <w:lvl w:ilvl="1">
      <w:start w:val="1"/>
      <w:numFmt w:val="decimal"/>
      <w:lvlText w:val="%2."/>
      <w:lvlJc w:val="left"/>
      <w:pPr>
        <w:ind w:left="284" w:hanging="284"/>
      </w:pPr>
      <w:rPr>
        <w:rFonts w:ascii="Arial" w:hAnsi="Arial" w:hint="default"/>
        <w:b w:val="0"/>
        <w:i w:val="0"/>
        <w:caps w:val="0"/>
        <w:strike w:val="0"/>
        <w:dstrike w:val="0"/>
        <w:vanish w:val="0"/>
        <w:sz w:val="20"/>
        <w:vertAlign w:val="baseline"/>
      </w:rPr>
    </w:lvl>
    <w:lvl w:ilvl="2">
      <w:start w:val="1"/>
      <w:numFmt w:val="lowerLetter"/>
      <w:lvlText w:val="%3)"/>
      <w:lvlJc w:val="left"/>
      <w:pPr>
        <w:tabs>
          <w:tab w:val="num" w:pos="5387"/>
        </w:tabs>
        <w:ind w:left="567" w:hanging="283"/>
      </w:pPr>
      <w:rPr>
        <w:rFonts w:ascii="Arial" w:hAnsi="Arial" w:hint="default"/>
        <w:b w:val="0"/>
        <w:i w:val="0"/>
        <w:caps w:val="0"/>
        <w:strike w:val="0"/>
        <w:dstrike w:val="0"/>
        <w:vanish w:val="0"/>
        <w:sz w:val="20"/>
        <w:vertAlign w:val="baseline"/>
      </w:rPr>
    </w:lvl>
    <w:lvl w:ilvl="3">
      <w:start w:val="1"/>
      <w:numFmt w:val="lowerRoman"/>
      <w:lvlText w:val="(%4)"/>
      <w:lvlJc w:val="left"/>
      <w:pPr>
        <w:ind w:left="992" w:hanging="425"/>
      </w:pPr>
      <w:rPr>
        <w:rFonts w:ascii="Arial" w:hAnsi="Arial" w:hint="default"/>
        <w:b w:val="0"/>
        <w:i w:val="0"/>
        <w:caps w:val="0"/>
        <w:strike w:val="0"/>
        <w:dstrike w:val="0"/>
        <w:vanish w:val="0"/>
        <w:sz w:val="20"/>
        <w:vertAlign w:val="baseline"/>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797D7DE2"/>
    <w:multiLevelType w:val="hybridMultilevel"/>
    <w:tmpl w:val="51A6DC7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51" w15:restartNumberingAfterBreak="0">
    <w:nsid w:val="79D10818"/>
    <w:multiLevelType w:val="multilevel"/>
    <w:tmpl w:val="46BAE046"/>
    <w:lvl w:ilvl="0">
      <w:start w:val="1"/>
      <w:numFmt w:val="decimal"/>
      <w:lvlText w:val="§ %1"/>
      <w:lvlJc w:val="center"/>
      <w:pPr>
        <w:ind w:left="567" w:hanging="283"/>
      </w:pPr>
      <w:rPr>
        <w:rFonts w:ascii="Arial" w:hAnsi="Arial" w:hint="default"/>
        <w:b/>
        <w:i w:val="0"/>
        <w:caps w:val="0"/>
        <w:strike w:val="0"/>
        <w:dstrike w:val="0"/>
        <w:vanish w:val="0"/>
        <w:sz w:val="20"/>
        <w:vertAlign w:val="baseline"/>
      </w:rPr>
    </w:lvl>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 w:ilvl="2">
      <w:start w:val="1"/>
      <w:numFmt w:val="decimal"/>
      <w:lvlText w:val="%3)"/>
      <w:lvlJc w:val="left"/>
      <w:pPr>
        <w:tabs>
          <w:tab w:val="num" w:pos="5387"/>
        </w:tabs>
        <w:ind w:left="567" w:hanging="283"/>
      </w:pPr>
      <w:rPr>
        <w:rFonts w:hint="default"/>
        <w:b w:val="0"/>
        <w:i w:val="0"/>
        <w:caps w:val="0"/>
        <w:strike w:val="0"/>
        <w:dstrike w:val="0"/>
        <w:vanish w:val="0"/>
        <w:sz w:val="18"/>
        <w:szCs w:val="18"/>
        <w:vertAlign w:val="baseline"/>
      </w:rPr>
    </w:lvl>
    <w:lvl w:ilvl="3">
      <w:start w:val="1"/>
      <w:numFmt w:val="lowerLetter"/>
      <w:lvlText w:val="%4)"/>
      <w:lvlJc w:val="left"/>
      <w:pPr>
        <w:ind w:left="927"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AF56894"/>
    <w:multiLevelType w:val="hybridMultilevel"/>
    <w:tmpl w:val="20E697C6"/>
    <w:lvl w:ilvl="0" w:tplc="36F8492A">
      <w:start w:val="1"/>
      <w:numFmt w:val="decimal"/>
      <w:lvlText w:val="%1."/>
      <w:lvlJc w:val="left"/>
      <w:pPr>
        <w:ind w:left="513"/>
      </w:pPr>
      <w:rPr>
        <w:rFonts w:ascii="Calibri Light" w:eastAsia="Bookman Old Style" w:hAnsi="Calibri Light" w:cs="Calibri Light" w:hint="default"/>
        <w:b w:val="0"/>
        <w:i w:val="0"/>
        <w:strike w:val="0"/>
        <w:dstrike w:val="0"/>
        <w:color w:val="000000"/>
        <w:sz w:val="18"/>
        <w:szCs w:val="18"/>
        <w:u w:val="none" w:color="000000"/>
        <w:bdr w:val="none" w:sz="0" w:space="0" w:color="auto"/>
        <w:shd w:val="clear" w:color="auto" w:fill="auto"/>
        <w:vertAlign w:val="baseline"/>
      </w:rPr>
    </w:lvl>
    <w:lvl w:ilvl="1" w:tplc="091CDDD6">
      <w:start w:val="1"/>
      <w:numFmt w:val="lowerLetter"/>
      <w:lvlText w:val="%2"/>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F5F43EC2">
      <w:start w:val="1"/>
      <w:numFmt w:val="lowerRoman"/>
      <w:lvlText w:val="%3"/>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0690FB90">
      <w:start w:val="1"/>
      <w:numFmt w:val="decimal"/>
      <w:lvlText w:val="%4"/>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4AB204B0">
      <w:start w:val="1"/>
      <w:numFmt w:val="lowerLetter"/>
      <w:lvlText w:val="%5"/>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444CAA6C">
      <w:start w:val="1"/>
      <w:numFmt w:val="lowerRoman"/>
      <w:lvlText w:val="%6"/>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9322E6A6">
      <w:start w:val="1"/>
      <w:numFmt w:val="decimal"/>
      <w:lvlText w:val="%7"/>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023630C6">
      <w:start w:val="1"/>
      <w:numFmt w:val="lowerLetter"/>
      <w:lvlText w:val="%8"/>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71C63F12">
      <w:start w:val="1"/>
      <w:numFmt w:val="lowerRoman"/>
      <w:lvlText w:val="%9"/>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C6D2F09"/>
    <w:multiLevelType w:val="hybridMultilevel"/>
    <w:tmpl w:val="D0F020C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7EE26CF7"/>
    <w:multiLevelType w:val="hybridMultilevel"/>
    <w:tmpl w:val="2EFA9F0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792331838">
    <w:abstractNumId w:val="25"/>
  </w:num>
  <w:num w:numId="2" w16cid:durableId="2099596354">
    <w:abstractNumId w:val="3"/>
  </w:num>
  <w:num w:numId="3" w16cid:durableId="1141843673">
    <w:abstractNumId w:val="21"/>
  </w:num>
  <w:num w:numId="4" w16cid:durableId="2046639556">
    <w:abstractNumId w:val="15"/>
  </w:num>
  <w:num w:numId="5" w16cid:durableId="1162283146">
    <w:abstractNumId w:val="38"/>
  </w:num>
  <w:num w:numId="6" w16cid:durableId="1103724160">
    <w:abstractNumId w:val="29"/>
  </w:num>
  <w:num w:numId="7" w16cid:durableId="1175220135">
    <w:abstractNumId w:val="16"/>
  </w:num>
  <w:num w:numId="8" w16cid:durableId="1915235660">
    <w:abstractNumId w:val="54"/>
  </w:num>
  <w:num w:numId="9" w16cid:durableId="1386023612">
    <w:abstractNumId w:val="47"/>
  </w:num>
  <w:num w:numId="10" w16cid:durableId="607011046">
    <w:abstractNumId w:val="4"/>
  </w:num>
  <w:num w:numId="11" w16cid:durableId="149837300">
    <w:abstractNumId w:val="18"/>
  </w:num>
  <w:num w:numId="12" w16cid:durableId="1546676317">
    <w:abstractNumId w:val="5"/>
  </w:num>
  <w:num w:numId="13" w16cid:durableId="519858664">
    <w:abstractNumId w:val="23"/>
  </w:num>
  <w:num w:numId="14" w16cid:durableId="1994485994">
    <w:abstractNumId w:val="0"/>
  </w:num>
  <w:num w:numId="15" w16cid:durableId="1752265084">
    <w:abstractNumId w:val="24"/>
  </w:num>
  <w:num w:numId="16" w16cid:durableId="1910533014">
    <w:abstractNumId w:val="41"/>
  </w:num>
  <w:num w:numId="17" w16cid:durableId="783499266">
    <w:abstractNumId w:val="37"/>
  </w:num>
  <w:num w:numId="18" w16cid:durableId="2071923105">
    <w:abstractNumId w:val="14"/>
  </w:num>
  <w:num w:numId="19" w16cid:durableId="191964648">
    <w:abstractNumId w:val="52"/>
  </w:num>
  <w:num w:numId="20" w16cid:durableId="1237277011">
    <w:abstractNumId w:val="35"/>
  </w:num>
  <w:num w:numId="21" w16cid:durableId="1029136986">
    <w:abstractNumId w:val="42"/>
  </w:num>
  <w:num w:numId="22" w16cid:durableId="341975233">
    <w:abstractNumId w:val="44"/>
  </w:num>
  <w:num w:numId="23" w16cid:durableId="845361696">
    <w:abstractNumId w:val="36"/>
  </w:num>
  <w:num w:numId="24" w16cid:durableId="1567497856">
    <w:abstractNumId w:val="28"/>
  </w:num>
  <w:num w:numId="25" w16cid:durableId="520095230">
    <w:abstractNumId w:val="20"/>
  </w:num>
  <w:num w:numId="26" w16cid:durableId="1119883384">
    <w:abstractNumId w:val="45"/>
  </w:num>
  <w:num w:numId="27" w16cid:durableId="789739157">
    <w:abstractNumId w:val="39"/>
  </w:num>
  <w:num w:numId="28" w16cid:durableId="1891306800">
    <w:abstractNumId w:val="32"/>
  </w:num>
  <w:num w:numId="29" w16cid:durableId="543099033">
    <w:abstractNumId w:val="31"/>
  </w:num>
  <w:num w:numId="30" w16cid:durableId="441344836">
    <w:abstractNumId w:val="11"/>
  </w:num>
  <w:num w:numId="31" w16cid:durableId="439181589">
    <w:abstractNumId w:val="1"/>
  </w:num>
  <w:num w:numId="32" w16cid:durableId="1478689570">
    <w:abstractNumId w:val="48"/>
  </w:num>
  <w:num w:numId="33" w16cid:durableId="856819131">
    <w:abstractNumId w:val="53"/>
  </w:num>
  <w:num w:numId="34" w16cid:durableId="942148182">
    <w:abstractNumId w:val="49"/>
  </w:num>
  <w:num w:numId="35" w16cid:durableId="463042764">
    <w:abstractNumId w:val="26"/>
    <w:lvlOverride w:ilvl="0">
      <w:lvl w:ilvl="0">
        <w:start w:val="1"/>
        <w:numFmt w:val="decimal"/>
        <w:lvlText w:val="§ %1"/>
        <w:lvlJc w:val="center"/>
        <w:pPr>
          <w:ind w:left="4536" w:hanging="283"/>
        </w:pPr>
        <w:rPr>
          <w:rFonts w:asciiTheme="majorHAnsi" w:hAnsiTheme="majorHAnsi" w:cstheme="majorHAnsi" w:hint="default"/>
          <w:b/>
          <w:i w:val="0"/>
          <w:caps w:val="0"/>
          <w:strike w:val="0"/>
          <w:dstrike w:val="0"/>
          <w:vanish w:val="0"/>
          <w:sz w:val="18"/>
          <w:szCs w:val="18"/>
          <w:vertAlign w:val="baseline"/>
        </w:rPr>
      </w:lvl>
    </w:lvlOverride>
    <w:lvlOverride w:ilvl="1">
      <w:lvl w:ilvl="1">
        <w:start w:val="1"/>
        <w:numFmt w:val="decimal"/>
        <w:lvlText w:val="%2."/>
        <w:lvlJc w:val="left"/>
        <w:pPr>
          <w:ind w:left="284" w:hanging="284"/>
        </w:pPr>
        <w:rPr>
          <w:rFonts w:ascii="Arial" w:hAnsi="Arial" w:hint="default"/>
          <w:b w:val="0"/>
          <w:i w:val="0"/>
          <w:caps w:val="0"/>
          <w:strike w:val="0"/>
          <w:dstrike w:val="0"/>
          <w:vanish w:val="0"/>
          <w:sz w:val="20"/>
          <w:vertAlign w:val="baseline"/>
        </w:rPr>
      </w:lvl>
    </w:lvlOverride>
    <w:lvlOverride w:ilvl="2">
      <w:lvl w:ilvl="2">
        <w:start w:val="1"/>
        <w:numFmt w:val="decimal"/>
        <w:lvlText w:val="%3)"/>
        <w:lvlJc w:val="left"/>
        <w:pPr>
          <w:tabs>
            <w:tab w:val="num" w:pos="5387"/>
          </w:tabs>
          <w:ind w:left="567" w:hanging="283"/>
        </w:pPr>
        <w:rPr>
          <w:rFonts w:ascii="Arial" w:hAnsi="Arial" w:hint="default"/>
          <w:b w:val="0"/>
          <w:i w:val="0"/>
          <w:caps w:val="0"/>
          <w:strike w:val="0"/>
          <w:dstrike w:val="0"/>
          <w:vanish w:val="0"/>
          <w:sz w:val="20"/>
          <w:vertAlign w:val="baseline"/>
        </w:rPr>
      </w:lvl>
    </w:lvlOverride>
    <w:lvlOverride w:ilvl="3">
      <w:lvl w:ilvl="3">
        <w:start w:val="1"/>
        <w:numFmt w:val="lowerLetter"/>
        <w:lvlText w:val="%4)"/>
        <w:lvlJc w:val="left"/>
        <w:pPr>
          <w:ind w:left="851" w:hanging="284"/>
        </w:pPr>
        <w:rPr>
          <w:rFonts w:ascii="Arial" w:hAnsi="Arial" w:hint="default"/>
          <w:b w:val="0"/>
          <w:i w:val="0"/>
          <w:caps w:val="0"/>
          <w:strike w:val="0"/>
          <w:dstrike w:val="0"/>
          <w:vanish w:val="0"/>
          <w:sz w:val="20"/>
          <w:vertAlign w:val="baseline"/>
        </w:rPr>
      </w:lvl>
    </w:lvlOverride>
    <w:lvlOverride w:ilvl="4">
      <w:lvl w:ilvl="4">
        <w:start w:val="1"/>
        <w:numFmt w:val="lowerRoman"/>
        <w:lvlText w:val="%5)"/>
        <w:lvlJc w:val="left"/>
        <w:pPr>
          <w:ind w:left="1276" w:hanging="425"/>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6" w16cid:durableId="1680499299">
    <w:abstractNumId w:val="6"/>
  </w:num>
  <w:num w:numId="37" w16cid:durableId="247858793">
    <w:abstractNumId w:val="43"/>
  </w:num>
  <w:num w:numId="38" w16cid:durableId="307173846">
    <w:abstractNumId w:val="22"/>
  </w:num>
  <w:num w:numId="39" w16cid:durableId="942540830">
    <w:abstractNumId w:val="19"/>
  </w:num>
  <w:num w:numId="40" w16cid:durableId="164125924">
    <w:abstractNumId w:val="7"/>
  </w:num>
  <w:num w:numId="41" w16cid:durableId="1792431257">
    <w:abstractNumId w:val="33"/>
  </w:num>
  <w:num w:numId="42" w16cid:durableId="1928078337">
    <w:abstractNumId w:val="12"/>
  </w:num>
  <w:num w:numId="43" w16cid:durableId="1888253710">
    <w:abstractNumId w:val="40"/>
  </w:num>
  <w:num w:numId="44" w16cid:durableId="416488760">
    <w:abstractNumId w:val="27"/>
  </w:num>
  <w:num w:numId="45" w16cid:durableId="1198855218">
    <w:abstractNumId w:val="9"/>
  </w:num>
  <w:num w:numId="46" w16cid:durableId="1030688778">
    <w:abstractNumId w:val="51"/>
  </w:num>
  <w:num w:numId="47" w16cid:durableId="2039040025">
    <w:abstractNumId w:val="10"/>
    <w:lvlOverride w:ilvl="0">
      <w:lvl w:ilvl="0">
        <w:start w:val="1"/>
        <w:numFmt w:val="decimal"/>
        <w:lvlText w:val="§ %1"/>
        <w:lvlJc w:val="center"/>
        <w:pPr>
          <w:ind w:left="567" w:hanging="283"/>
        </w:pPr>
        <w:rPr>
          <w:rFonts w:asciiTheme="majorHAnsi" w:hAnsiTheme="majorHAnsi" w:cstheme="majorHAnsi" w:hint="default"/>
          <w:b/>
          <w:i w:val="0"/>
          <w:caps w:val="0"/>
          <w:strike w:val="0"/>
          <w:dstrike w:val="0"/>
          <w:vanish w:val="0"/>
          <w:sz w:val="18"/>
          <w:szCs w:val="18"/>
          <w:vertAlign w:val="baseline"/>
        </w:rPr>
      </w:lvl>
    </w:lvlOverride>
    <w:lvlOverride w:ilvl="1">
      <w:lvl w:ilvl="1">
        <w:start w:val="1"/>
        <w:numFmt w:val="decimal"/>
        <w:lvlText w:val="%2."/>
        <w:lvlJc w:val="left"/>
        <w:pPr>
          <w:ind w:left="284" w:hanging="284"/>
        </w:pPr>
        <w:rPr>
          <w:rFonts w:asciiTheme="majorHAnsi" w:hAnsiTheme="majorHAnsi" w:cstheme="majorHAnsi" w:hint="default"/>
          <w:b w:val="0"/>
          <w:i w:val="0"/>
          <w:caps w:val="0"/>
          <w:strike w:val="0"/>
          <w:dstrike w:val="0"/>
          <w:vanish w:val="0"/>
          <w:sz w:val="18"/>
          <w:szCs w:val="18"/>
          <w:vertAlign w:val="baseline"/>
        </w:rPr>
      </w:lvl>
    </w:lvlOverride>
    <w:lvlOverride w:ilvl="2">
      <w:lvl w:ilvl="2">
        <w:start w:val="1"/>
        <w:numFmt w:val="lowerLetter"/>
        <w:lvlText w:val="%3)"/>
        <w:lvlJc w:val="left"/>
        <w:pPr>
          <w:tabs>
            <w:tab w:val="num" w:pos="5387"/>
          </w:tabs>
          <w:ind w:left="567" w:hanging="283"/>
        </w:pPr>
        <w:rPr>
          <w:rFonts w:ascii="Arial" w:hAnsi="Arial" w:hint="default"/>
          <w:b w:val="0"/>
          <w:i w:val="0"/>
          <w:caps w:val="0"/>
          <w:strike w:val="0"/>
          <w:dstrike w:val="0"/>
          <w:vanish w:val="0"/>
          <w:sz w:val="20"/>
          <w:vertAlign w:val="baseline"/>
        </w:rPr>
      </w:lvl>
    </w:lvlOverride>
    <w:lvlOverride w:ilvl="3">
      <w:lvl w:ilvl="3">
        <w:start w:val="1"/>
        <w:numFmt w:val="lowerRoman"/>
        <w:lvlText w:val="(%4)"/>
        <w:lvlJc w:val="left"/>
        <w:pPr>
          <w:ind w:left="992" w:hanging="425"/>
        </w:pPr>
        <w:rPr>
          <w:rFonts w:ascii="Arial" w:hAnsi="Arial" w:hint="default"/>
          <w:b w:val="0"/>
          <w:i w:val="0"/>
          <w:caps w:val="0"/>
          <w:strike w:val="0"/>
          <w:dstrike w:val="0"/>
          <w:vanish w:val="0"/>
          <w:sz w:val="20"/>
          <w:vertAlign w:val="baseline"/>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8" w16cid:durableId="1297446761">
    <w:abstractNumId w:val="30"/>
  </w:num>
  <w:num w:numId="49" w16cid:durableId="1972396486">
    <w:abstractNumId w:val="2"/>
  </w:num>
  <w:num w:numId="50" w16cid:durableId="1524434891">
    <w:abstractNumId w:val="17"/>
  </w:num>
  <w:num w:numId="51" w16cid:durableId="1511674915">
    <w:abstractNumId w:val="13"/>
  </w:num>
  <w:num w:numId="52" w16cid:durableId="1941836206">
    <w:abstractNumId w:val="50"/>
  </w:num>
  <w:num w:numId="53" w16cid:durableId="2132743736">
    <w:abstractNumId w:val="34"/>
  </w:num>
  <w:num w:numId="54" w16cid:durableId="1449665630">
    <w:abstractNumId w:val="8"/>
  </w:num>
  <w:num w:numId="55" w16cid:durableId="1504397719">
    <w:abstractNumId w:val="4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2D6"/>
    <w:rsid w:val="00006D86"/>
    <w:rsid w:val="000160CA"/>
    <w:rsid w:val="0002035D"/>
    <w:rsid w:val="00027F04"/>
    <w:rsid w:val="00033A0D"/>
    <w:rsid w:val="000370AF"/>
    <w:rsid w:val="0004045F"/>
    <w:rsid w:val="000A0E7C"/>
    <w:rsid w:val="000C3F6B"/>
    <w:rsid w:val="000E1028"/>
    <w:rsid w:val="000F7ECF"/>
    <w:rsid w:val="00102857"/>
    <w:rsid w:val="001060F3"/>
    <w:rsid w:val="00137FA0"/>
    <w:rsid w:val="001401B9"/>
    <w:rsid w:val="001401E3"/>
    <w:rsid w:val="001577C9"/>
    <w:rsid w:val="00163215"/>
    <w:rsid w:val="00166357"/>
    <w:rsid w:val="00167D6D"/>
    <w:rsid w:val="001B0DAF"/>
    <w:rsid w:val="001B3D54"/>
    <w:rsid w:val="001C44A5"/>
    <w:rsid w:val="001D5CBC"/>
    <w:rsid w:val="001F11F5"/>
    <w:rsid w:val="001F336A"/>
    <w:rsid w:val="001F4F05"/>
    <w:rsid w:val="00213D27"/>
    <w:rsid w:val="00215715"/>
    <w:rsid w:val="00220063"/>
    <w:rsid w:val="002434D8"/>
    <w:rsid w:val="00246C9B"/>
    <w:rsid w:val="00251467"/>
    <w:rsid w:val="00273CCB"/>
    <w:rsid w:val="0027770B"/>
    <w:rsid w:val="00287A95"/>
    <w:rsid w:val="00293419"/>
    <w:rsid w:val="002B09E2"/>
    <w:rsid w:val="002B2AF3"/>
    <w:rsid w:val="002B7252"/>
    <w:rsid w:val="002C23D7"/>
    <w:rsid w:val="002C3C8D"/>
    <w:rsid w:val="002C4C3B"/>
    <w:rsid w:val="002D4B14"/>
    <w:rsid w:val="002F3F3F"/>
    <w:rsid w:val="002F616C"/>
    <w:rsid w:val="002F6F1A"/>
    <w:rsid w:val="00306780"/>
    <w:rsid w:val="00320BE2"/>
    <w:rsid w:val="003232F9"/>
    <w:rsid w:val="00335728"/>
    <w:rsid w:val="003504C0"/>
    <w:rsid w:val="0035558E"/>
    <w:rsid w:val="00361296"/>
    <w:rsid w:val="00363A8D"/>
    <w:rsid w:val="00384647"/>
    <w:rsid w:val="00394C31"/>
    <w:rsid w:val="003972E4"/>
    <w:rsid w:val="003A247C"/>
    <w:rsid w:val="003B5880"/>
    <w:rsid w:val="003C59D2"/>
    <w:rsid w:val="003F3E7F"/>
    <w:rsid w:val="003F7C10"/>
    <w:rsid w:val="00410764"/>
    <w:rsid w:val="00415931"/>
    <w:rsid w:val="00420C82"/>
    <w:rsid w:val="004256A8"/>
    <w:rsid w:val="00425FBD"/>
    <w:rsid w:val="00455EEC"/>
    <w:rsid w:val="00471B07"/>
    <w:rsid w:val="00492389"/>
    <w:rsid w:val="00493AD6"/>
    <w:rsid w:val="004941BF"/>
    <w:rsid w:val="004A32D2"/>
    <w:rsid w:val="004A66C2"/>
    <w:rsid w:val="004B4817"/>
    <w:rsid w:val="004D2DBD"/>
    <w:rsid w:val="004E0F41"/>
    <w:rsid w:val="004E396D"/>
    <w:rsid w:val="004F0EEA"/>
    <w:rsid w:val="00500B82"/>
    <w:rsid w:val="005074B4"/>
    <w:rsid w:val="005079CD"/>
    <w:rsid w:val="00515324"/>
    <w:rsid w:val="00517BE8"/>
    <w:rsid w:val="0052372C"/>
    <w:rsid w:val="0052449C"/>
    <w:rsid w:val="00534842"/>
    <w:rsid w:val="005367BD"/>
    <w:rsid w:val="0055017A"/>
    <w:rsid w:val="005562C3"/>
    <w:rsid w:val="00564AB6"/>
    <w:rsid w:val="00565043"/>
    <w:rsid w:val="00565E74"/>
    <w:rsid w:val="005770F9"/>
    <w:rsid w:val="00583DCB"/>
    <w:rsid w:val="005948D8"/>
    <w:rsid w:val="00596202"/>
    <w:rsid w:val="005A54BF"/>
    <w:rsid w:val="005D4761"/>
    <w:rsid w:val="005E08CA"/>
    <w:rsid w:val="005F283C"/>
    <w:rsid w:val="00604F40"/>
    <w:rsid w:val="00607970"/>
    <w:rsid w:val="00617318"/>
    <w:rsid w:val="00626451"/>
    <w:rsid w:val="006302A3"/>
    <w:rsid w:val="00646461"/>
    <w:rsid w:val="006529C3"/>
    <w:rsid w:val="0066343E"/>
    <w:rsid w:val="00676FE1"/>
    <w:rsid w:val="00685729"/>
    <w:rsid w:val="00687315"/>
    <w:rsid w:val="006A1004"/>
    <w:rsid w:val="006A34DB"/>
    <w:rsid w:val="006A4592"/>
    <w:rsid w:val="006B6067"/>
    <w:rsid w:val="0073362F"/>
    <w:rsid w:val="007811AF"/>
    <w:rsid w:val="00783C3B"/>
    <w:rsid w:val="0078552C"/>
    <w:rsid w:val="00794306"/>
    <w:rsid w:val="00795BB6"/>
    <w:rsid w:val="007A6137"/>
    <w:rsid w:val="007B2B3D"/>
    <w:rsid w:val="007C0DDE"/>
    <w:rsid w:val="007C4627"/>
    <w:rsid w:val="007C5B55"/>
    <w:rsid w:val="007D268D"/>
    <w:rsid w:val="007E15DF"/>
    <w:rsid w:val="007F357C"/>
    <w:rsid w:val="00804BFF"/>
    <w:rsid w:val="008052F6"/>
    <w:rsid w:val="008246F2"/>
    <w:rsid w:val="00824A4A"/>
    <w:rsid w:val="00826613"/>
    <w:rsid w:val="008271C4"/>
    <w:rsid w:val="00827D66"/>
    <w:rsid w:val="00834349"/>
    <w:rsid w:val="00852C66"/>
    <w:rsid w:val="00871DA4"/>
    <w:rsid w:val="00896C56"/>
    <w:rsid w:val="008A34AE"/>
    <w:rsid w:val="008A4C18"/>
    <w:rsid w:val="008B1345"/>
    <w:rsid w:val="008B22F3"/>
    <w:rsid w:val="008E4496"/>
    <w:rsid w:val="00911075"/>
    <w:rsid w:val="009114C4"/>
    <w:rsid w:val="009274E4"/>
    <w:rsid w:val="00943AAC"/>
    <w:rsid w:val="0095015E"/>
    <w:rsid w:val="00961D51"/>
    <w:rsid w:val="00965CE0"/>
    <w:rsid w:val="0097221C"/>
    <w:rsid w:val="00981670"/>
    <w:rsid w:val="00981CC7"/>
    <w:rsid w:val="0099004F"/>
    <w:rsid w:val="00991008"/>
    <w:rsid w:val="009A2C34"/>
    <w:rsid w:val="009A4879"/>
    <w:rsid w:val="009C292A"/>
    <w:rsid w:val="009D0786"/>
    <w:rsid w:val="009D1DA7"/>
    <w:rsid w:val="009F0CFC"/>
    <w:rsid w:val="009F41AC"/>
    <w:rsid w:val="009F7DF8"/>
    <w:rsid w:val="00A02F7A"/>
    <w:rsid w:val="00A3038C"/>
    <w:rsid w:val="00A438AC"/>
    <w:rsid w:val="00A5776E"/>
    <w:rsid w:val="00A6215F"/>
    <w:rsid w:val="00A7314C"/>
    <w:rsid w:val="00A7455C"/>
    <w:rsid w:val="00A779B3"/>
    <w:rsid w:val="00A83972"/>
    <w:rsid w:val="00A876AB"/>
    <w:rsid w:val="00AD02D6"/>
    <w:rsid w:val="00B11377"/>
    <w:rsid w:val="00B23757"/>
    <w:rsid w:val="00B40344"/>
    <w:rsid w:val="00B44757"/>
    <w:rsid w:val="00B4742A"/>
    <w:rsid w:val="00B55E84"/>
    <w:rsid w:val="00B55FEC"/>
    <w:rsid w:val="00B752F0"/>
    <w:rsid w:val="00BB2FD3"/>
    <w:rsid w:val="00BC544B"/>
    <w:rsid w:val="00BD1DE0"/>
    <w:rsid w:val="00BF722B"/>
    <w:rsid w:val="00C141E8"/>
    <w:rsid w:val="00C20512"/>
    <w:rsid w:val="00C21C96"/>
    <w:rsid w:val="00C266EC"/>
    <w:rsid w:val="00C274A2"/>
    <w:rsid w:val="00C312FF"/>
    <w:rsid w:val="00C345B0"/>
    <w:rsid w:val="00C45432"/>
    <w:rsid w:val="00C52091"/>
    <w:rsid w:val="00C53D5B"/>
    <w:rsid w:val="00C6117B"/>
    <w:rsid w:val="00C61206"/>
    <w:rsid w:val="00C90669"/>
    <w:rsid w:val="00C928B3"/>
    <w:rsid w:val="00CA189B"/>
    <w:rsid w:val="00CC171A"/>
    <w:rsid w:val="00CC6E19"/>
    <w:rsid w:val="00CD1456"/>
    <w:rsid w:val="00CF40DC"/>
    <w:rsid w:val="00D03244"/>
    <w:rsid w:val="00D05DAD"/>
    <w:rsid w:val="00D16B5A"/>
    <w:rsid w:val="00D322D0"/>
    <w:rsid w:val="00D34B16"/>
    <w:rsid w:val="00D4616E"/>
    <w:rsid w:val="00D62FB7"/>
    <w:rsid w:val="00DB2B81"/>
    <w:rsid w:val="00DD0101"/>
    <w:rsid w:val="00DD0469"/>
    <w:rsid w:val="00DD6C6E"/>
    <w:rsid w:val="00DE0281"/>
    <w:rsid w:val="00DE251A"/>
    <w:rsid w:val="00DE7909"/>
    <w:rsid w:val="00DF5B63"/>
    <w:rsid w:val="00E2273F"/>
    <w:rsid w:val="00E25DA5"/>
    <w:rsid w:val="00E3646B"/>
    <w:rsid w:val="00E45E54"/>
    <w:rsid w:val="00E53632"/>
    <w:rsid w:val="00E556AA"/>
    <w:rsid w:val="00E6494C"/>
    <w:rsid w:val="00E728EE"/>
    <w:rsid w:val="00E872E6"/>
    <w:rsid w:val="00E9214E"/>
    <w:rsid w:val="00ED36C7"/>
    <w:rsid w:val="00EE015A"/>
    <w:rsid w:val="00EE5808"/>
    <w:rsid w:val="00EF34B8"/>
    <w:rsid w:val="00EF4D49"/>
    <w:rsid w:val="00F23E92"/>
    <w:rsid w:val="00F760D2"/>
    <w:rsid w:val="00F7663C"/>
    <w:rsid w:val="00F7735F"/>
    <w:rsid w:val="00F83911"/>
    <w:rsid w:val="00FA505D"/>
    <w:rsid w:val="00FC1ECB"/>
    <w:rsid w:val="00FE10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EEFB2"/>
  <w15:chartTrackingRefBased/>
  <w15:docId w15:val="{7D7E4033-EEC1-4C24-98B6-9F5D62820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54BF"/>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896C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4">
    <w:name w:val="heading 4"/>
    <w:basedOn w:val="Normalny"/>
    <w:next w:val="Normalny"/>
    <w:link w:val="Nagwek4Znak"/>
    <w:uiPriority w:val="9"/>
    <w:semiHidden/>
    <w:unhideWhenUsed/>
    <w:qFormat/>
    <w:rsid w:val="00896C5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link w:val="Nagwek5Znak"/>
    <w:uiPriority w:val="9"/>
    <w:unhideWhenUsed/>
    <w:qFormat/>
    <w:rsid w:val="00213D27"/>
    <w:pPr>
      <w:widowControl w:val="0"/>
      <w:autoSpaceDE w:val="0"/>
      <w:autoSpaceDN w:val="0"/>
      <w:spacing w:before="44" w:after="0" w:line="240" w:lineRule="auto"/>
      <w:ind w:left="1731" w:right="31"/>
      <w:jc w:val="center"/>
      <w:outlineLvl w:val="4"/>
    </w:pPr>
    <w:rPr>
      <w:rFonts w:ascii="Arial" w:eastAsia="Arial" w:hAnsi="Arial" w:cs="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D02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D02D6"/>
  </w:style>
  <w:style w:type="paragraph" w:styleId="Stopka">
    <w:name w:val="footer"/>
    <w:basedOn w:val="Normalny"/>
    <w:link w:val="StopkaZnak"/>
    <w:uiPriority w:val="99"/>
    <w:unhideWhenUsed/>
    <w:rsid w:val="00AD02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D02D6"/>
  </w:style>
  <w:style w:type="character" w:styleId="Hipercze">
    <w:name w:val="Hyperlink"/>
    <w:uiPriority w:val="99"/>
    <w:unhideWhenUsed/>
    <w:rsid w:val="00AD02D6"/>
    <w:rPr>
      <w:color w:val="0000FF"/>
      <w:u w:val="single"/>
    </w:rPr>
  </w:style>
  <w:style w:type="character" w:customStyle="1" w:styleId="tl8wme">
    <w:name w:val="tl8wme"/>
    <w:basedOn w:val="Domylnaczcionkaakapitu"/>
    <w:rsid w:val="00D16B5A"/>
  </w:style>
  <w:style w:type="paragraph" w:styleId="Akapitzlist">
    <w:name w:val="List Paragraph"/>
    <w:aliases w:val="Bullets,Tekst pod nagłówkiem 2,Heading 51,Nagłowek D,1 Akapit z listą,bez formatowania,CP-UC,CP-Punkty,Bullet List,List - bullets,Equipment,Bullet 1,List Paragraph Char Char,b1,Figure_name,Numbered Indented Text,lp1,List Paragraph11,Ref"/>
    <w:basedOn w:val="Normalny"/>
    <w:link w:val="AkapitzlistZnak"/>
    <w:uiPriority w:val="34"/>
    <w:qFormat/>
    <w:rsid w:val="00137FA0"/>
    <w:pPr>
      <w:spacing w:after="160" w:line="259" w:lineRule="auto"/>
      <w:ind w:left="720"/>
      <w:contextualSpacing/>
    </w:pPr>
    <w:rPr>
      <w:rFonts w:asciiTheme="minorHAnsi" w:eastAsiaTheme="minorEastAsia" w:hAnsiTheme="minorHAnsi" w:cstheme="minorBidi"/>
      <w:lang w:eastAsia="pl-PL"/>
    </w:rPr>
  </w:style>
  <w:style w:type="character" w:styleId="Odwoaniedokomentarza">
    <w:name w:val="annotation reference"/>
    <w:basedOn w:val="Domylnaczcionkaakapitu"/>
    <w:uiPriority w:val="99"/>
    <w:semiHidden/>
    <w:unhideWhenUsed/>
    <w:rsid w:val="00137FA0"/>
    <w:rPr>
      <w:sz w:val="16"/>
      <w:szCs w:val="16"/>
    </w:rPr>
  </w:style>
  <w:style w:type="paragraph" w:styleId="Tekstkomentarza">
    <w:name w:val="annotation text"/>
    <w:basedOn w:val="Normalny"/>
    <w:link w:val="TekstkomentarzaZnak"/>
    <w:uiPriority w:val="99"/>
    <w:unhideWhenUsed/>
    <w:rsid w:val="00137FA0"/>
    <w:pPr>
      <w:spacing w:after="160" w:line="240" w:lineRule="auto"/>
    </w:pPr>
    <w:rPr>
      <w:rFonts w:asciiTheme="minorHAnsi" w:eastAsiaTheme="minorEastAsia" w:hAnsiTheme="minorHAnsi" w:cstheme="minorBidi"/>
      <w:sz w:val="20"/>
      <w:szCs w:val="20"/>
      <w:lang w:eastAsia="pl-PL"/>
    </w:rPr>
  </w:style>
  <w:style w:type="character" w:customStyle="1" w:styleId="TekstkomentarzaZnak">
    <w:name w:val="Tekst komentarza Znak"/>
    <w:basedOn w:val="Domylnaczcionkaakapitu"/>
    <w:link w:val="Tekstkomentarza"/>
    <w:uiPriority w:val="99"/>
    <w:rsid w:val="00137FA0"/>
    <w:rPr>
      <w:rFonts w:eastAsiaTheme="minorEastAsia"/>
      <w:sz w:val="20"/>
      <w:szCs w:val="20"/>
      <w:lang w:eastAsia="pl-PL"/>
    </w:rPr>
  </w:style>
  <w:style w:type="paragraph" w:styleId="NormalnyWeb">
    <w:name w:val="Normal (Web)"/>
    <w:basedOn w:val="Normalny"/>
    <w:uiPriority w:val="99"/>
    <w:rsid w:val="00137FA0"/>
    <w:pPr>
      <w:spacing w:before="100" w:beforeAutospacing="1" w:after="0" w:line="240" w:lineRule="auto"/>
      <w:jc w:val="both"/>
    </w:pPr>
    <w:rPr>
      <w:rFonts w:ascii="Times New Roman" w:eastAsia="Times New Roman" w:hAnsi="Times New Roman"/>
      <w:sz w:val="24"/>
      <w:szCs w:val="24"/>
      <w:lang w:eastAsia="pl-PL"/>
    </w:rPr>
  </w:style>
  <w:style w:type="paragraph" w:customStyle="1" w:styleId="western">
    <w:name w:val="western"/>
    <w:basedOn w:val="Normalny"/>
    <w:rsid w:val="00137FA0"/>
    <w:pPr>
      <w:spacing w:before="100" w:beforeAutospacing="1" w:after="0" w:line="240" w:lineRule="auto"/>
      <w:jc w:val="both"/>
    </w:pPr>
    <w:rPr>
      <w:rFonts w:ascii="Times New Roman" w:eastAsia="Times New Roman" w:hAnsi="Times New Roman"/>
      <w:sz w:val="24"/>
      <w:szCs w:val="24"/>
      <w:lang w:eastAsia="pl-PL"/>
    </w:rPr>
  </w:style>
  <w:style w:type="character" w:customStyle="1" w:styleId="Nagwek5Znak">
    <w:name w:val="Nagłówek 5 Znak"/>
    <w:basedOn w:val="Domylnaczcionkaakapitu"/>
    <w:link w:val="Nagwek5"/>
    <w:uiPriority w:val="9"/>
    <w:rsid w:val="00213D27"/>
    <w:rPr>
      <w:rFonts w:ascii="Arial" w:eastAsia="Arial" w:hAnsi="Arial" w:cs="Arial"/>
      <w:sz w:val="20"/>
      <w:szCs w:val="20"/>
    </w:rPr>
  </w:style>
  <w:style w:type="paragraph" w:styleId="Tekstpodstawowy">
    <w:name w:val="Body Text"/>
    <w:basedOn w:val="Normalny"/>
    <w:link w:val="TekstpodstawowyZnak"/>
    <w:uiPriority w:val="1"/>
    <w:qFormat/>
    <w:rsid w:val="00213D27"/>
    <w:pPr>
      <w:widowControl w:val="0"/>
      <w:autoSpaceDE w:val="0"/>
      <w:autoSpaceDN w:val="0"/>
      <w:spacing w:after="0" w:line="240" w:lineRule="auto"/>
    </w:pPr>
    <w:rPr>
      <w:rFonts w:ascii="Arial" w:eastAsia="Arial" w:hAnsi="Arial" w:cs="Arial"/>
      <w:sz w:val="20"/>
      <w:szCs w:val="20"/>
    </w:rPr>
  </w:style>
  <w:style w:type="character" w:customStyle="1" w:styleId="TekstpodstawowyZnak">
    <w:name w:val="Tekst podstawowy Znak"/>
    <w:basedOn w:val="Domylnaczcionkaakapitu"/>
    <w:link w:val="Tekstpodstawowy"/>
    <w:uiPriority w:val="1"/>
    <w:rsid w:val="00213D27"/>
    <w:rPr>
      <w:rFonts w:ascii="Arial" w:eastAsia="Arial" w:hAnsi="Arial" w:cs="Arial"/>
      <w:sz w:val="20"/>
      <w:szCs w:val="20"/>
    </w:rPr>
  </w:style>
  <w:style w:type="character" w:customStyle="1" w:styleId="Nagwek1Znak">
    <w:name w:val="Nagłówek 1 Znak"/>
    <w:basedOn w:val="Domylnaczcionkaakapitu"/>
    <w:link w:val="Nagwek1"/>
    <w:uiPriority w:val="9"/>
    <w:rsid w:val="00896C56"/>
    <w:rPr>
      <w:rFonts w:asciiTheme="majorHAnsi" w:eastAsiaTheme="majorEastAsia" w:hAnsiTheme="majorHAnsi" w:cstheme="majorBidi"/>
      <w:color w:val="2E74B5" w:themeColor="accent1" w:themeShade="BF"/>
      <w:sz w:val="32"/>
      <w:szCs w:val="32"/>
      <w:lang w:val="en-US"/>
    </w:rPr>
  </w:style>
  <w:style w:type="character" w:customStyle="1" w:styleId="Nagwek4Znak">
    <w:name w:val="Nagłówek 4 Znak"/>
    <w:basedOn w:val="Domylnaczcionkaakapitu"/>
    <w:link w:val="Nagwek4"/>
    <w:uiPriority w:val="9"/>
    <w:semiHidden/>
    <w:rsid w:val="00896C56"/>
    <w:rPr>
      <w:rFonts w:asciiTheme="majorHAnsi" w:eastAsiaTheme="majorEastAsia" w:hAnsiTheme="majorHAnsi" w:cstheme="majorBidi"/>
      <w:i/>
      <w:iCs/>
      <w:color w:val="2E74B5" w:themeColor="accent1" w:themeShade="BF"/>
      <w:lang w:val="en-US"/>
    </w:rPr>
  </w:style>
  <w:style w:type="paragraph" w:customStyle="1" w:styleId="ParagraphStyle3">
    <w:name w:val="ParagraphStyle3"/>
    <w:hidden/>
    <w:rsid w:val="00685729"/>
    <w:pPr>
      <w:spacing w:after="0" w:line="240" w:lineRule="auto"/>
    </w:pPr>
    <w:rPr>
      <w:rFonts w:ascii="Calibri" w:eastAsia="Times New Roman" w:hAnsi="Calibri" w:cs="Times New Roman"/>
      <w:lang w:eastAsia="pl-PL"/>
    </w:rPr>
  </w:style>
  <w:style w:type="character" w:customStyle="1" w:styleId="CharacterStyle1">
    <w:name w:val="CharacterStyle1"/>
    <w:hidden/>
    <w:rsid w:val="00685729"/>
    <w:rPr>
      <w:rFonts w:ascii="Calibri" w:hAnsi="Calibri"/>
      <w:b/>
      <w:i w:val="0"/>
      <w:strike w:val="0"/>
      <w:noProof/>
      <w:color w:val="000000"/>
      <w:sz w:val="18"/>
      <w:szCs w:val="18"/>
      <w:u w:val="none"/>
    </w:rPr>
  </w:style>
  <w:style w:type="paragraph" w:styleId="Tematkomentarza">
    <w:name w:val="annotation subject"/>
    <w:basedOn w:val="Tekstkomentarza"/>
    <w:next w:val="Tekstkomentarza"/>
    <w:link w:val="TematkomentarzaZnak"/>
    <w:uiPriority w:val="99"/>
    <w:semiHidden/>
    <w:unhideWhenUsed/>
    <w:rsid w:val="00220063"/>
    <w:pPr>
      <w:spacing w:after="200"/>
    </w:pPr>
    <w:rPr>
      <w:rFonts w:ascii="Calibri" w:eastAsia="Calibri" w:hAnsi="Calibri" w:cs="Times New Roman"/>
      <w:b/>
      <w:bCs/>
      <w:lang w:eastAsia="en-US"/>
    </w:rPr>
  </w:style>
  <w:style w:type="character" w:customStyle="1" w:styleId="TematkomentarzaZnak">
    <w:name w:val="Temat komentarza Znak"/>
    <w:basedOn w:val="TekstkomentarzaZnak"/>
    <w:link w:val="Tematkomentarza"/>
    <w:uiPriority w:val="99"/>
    <w:semiHidden/>
    <w:rsid w:val="00220063"/>
    <w:rPr>
      <w:rFonts w:ascii="Calibri" w:eastAsia="Calibri" w:hAnsi="Calibri" w:cs="Times New Roman"/>
      <w:b/>
      <w:bCs/>
      <w:sz w:val="20"/>
      <w:szCs w:val="20"/>
      <w:lang w:eastAsia="pl-PL"/>
    </w:rPr>
  </w:style>
  <w:style w:type="character" w:customStyle="1" w:styleId="AkapitzlistZnak">
    <w:name w:val="Akapit z listą Znak"/>
    <w:aliases w:val="Bullets Znak,Tekst pod nagłówkiem 2 Znak,Heading 51 Znak,Nagłowek D Znak,1 Akapit z listą Znak,bez formatowania Znak,CP-UC Znak,CP-Punkty Znak,Bullet List Znak,List - bullets Znak,Equipment Znak,Bullet 1 Znak,b1 Znak,Figure_name Znak"/>
    <w:link w:val="Akapitzlist"/>
    <w:uiPriority w:val="34"/>
    <w:qFormat/>
    <w:locked/>
    <w:rsid w:val="008A34AE"/>
    <w:rPr>
      <w:rFonts w:eastAsiaTheme="minorEastAsia"/>
      <w:lang w:eastAsia="pl-PL"/>
    </w:rPr>
  </w:style>
  <w:style w:type="table" w:styleId="Tabela-Siatka">
    <w:name w:val="Table Grid"/>
    <w:basedOn w:val="Standardowy"/>
    <w:uiPriority w:val="39"/>
    <w:rsid w:val="009D1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Jakub-paragrafowy">
    <w:name w:val="Jakub - paragrafowy"/>
    <w:uiPriority w:val="99"/>
    <w:rsid w:val="004E396D"/>
    <w:pPr>
      <w:numPr>
        <w:numId w:val="34"/>
      </w:numPr>
    </w:pPr>
  </w:style>
  <w:style w:type="table" w:customStyle="1" w:styleId="Tabela-Siatka1">
    <w:name w:val="Tabela - Siatka1"/>
    <w:basedOn w:val="Standardowy"/>
    <w:next w:val="Tabela-Siatka"/>
    <w:uiPriority w:val="39"/>
    <w:rsid w:val="004E396D"/>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0258">
      <w:bodyDiv w:val="1"/>
      <w:marLeft w:val="0"/>
      <w:marRight w:val="0"/>
      <w:marTop w:val="0"/>
      <w:marBottom w:val="0"/>
      <w:divBdr>
        <w:top w:val="none" w:sz="0" w:space="0" w:color="auto"/>
        <w:left w:val="none" w:sz="0" w:space="0" w:color="auto"/>
        <w:bottom w:val="none" w:sz="0" w:space="0" w:color="auto"/>
        <w:right w:val="none" w:sz="0" w:space="0" w:color="auto"/>
      </w:divBdr>
      <w:divsChild>
        <w:div w:id="1348825009">
          <w:marLeft w:val="0"/>
          <w:marRight w:val="0"/>
          <w:marTop w:val="0"/>
          <w:marBottom w:val="0"/>
          <w:divBdr>
            <w:top w:val="none" w:sz="0" w:space="0" w:color="auto"/>
            <w:left w:val="none" w:sz="0" w:space="0" w:color="auto"/>
            <w:bottom w:val="none" w:sz="0" w:space="0" w:color="auto"/>
            <w:right w:val="none" w:sz="0" w:space="0" w:color="auto"/>
          </w:divBdr>
          <w:divsChild>
            <w:div w:id="1065490392">
              <w:marLeft w:val="0"/>
              <w:marRight w:val="0"/>
              <w:marTop w:val="0"/>
              <w:marBottom w:val="0"/>
              <w:divBdr>
                <w:top w:val="none" w:sz="0" w:space="0" w:color="auto"/>
                <w:left w:val="none" w:sz="0" w:space="0" w:color="auto"/>
                <w:bottom w:val="none" w:sz="0" w:space="0" w:color="auto"/>
                <w:right w:val="none" w:sz="0" w:space="0" w:color="auto"/>
              </w:divBdr>
              <w:divsChild>
                <w:div w:id="410204969">
                  <w:marLeft w:val="0"/>
                  <w:marRight w:val="0"/>
                  <w:marTop w:val="0"/>
                  <w:marBottom w:val="0"/>
                  <w:divBdr>
                    <w:top w:val="none" w:sz="0" w:space="0" w:color="auto"/>
                    <w:left w:val="none" w:sz="0" w:space="0" w:color="auto"/>
                    <w:bottom w:val="none" w:sz="0" w:space="0" w:color="auto"/>
                    <w:right w:val="none" w:sz="0" w:space="0" w:color="auto"/>
                  </w:divBdr>
                  <w:divsChild>
                    <w:div w:id="873998212">
                      <w:marLeft w:val="0"/>
                      <w:marRight w:val="0"/>
                      <w:marTop w:val="0"/>
                      <w:marBottom w:val="0"/>
                      <w:divBdr>
                        <w:top w:val="none" w:sz="0" w:space="0" w:color="auto"/>
                        <w:left w:val="none" w:sz="0" w:space="0" w:color="auto"/>
                        <w:bottom w:val="none" w:sz="0" w:space="0" w:color="auto"/>
                        <w:right w:val="none" w:sz="0" w:space="0" w:color="auto"/>
                      </w:divBdr>
                      <w:divsChild>
                        <w:div w:id="104683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75585">
      <w:bodyDiv w:val="1"/>
      <w:marLeft w:val="0"/>
      <w:marRight w:val="0"/>
      <w:marTop w:val="0"/>
      <w:marBottom w:val="0"/>
      <w:divBdr>
        <w:top w:val="none" w:sz="0" w:space="0" w:color="auto"/>
        <w:left w:val="none" w:sz="0" w:space="0" w:color="auto"/>
        <w:bottom w:val="none" w:sz="0" w:space="0" w:color="auto"/>
        <w:right w:val="none" w:sz="0" w:space="0" w:color="auto"/>
      </w:divBdr>
    </w:div>
    <w:div w:id="142354840">
      <w:bodyDiv w:val="1"/>
      <w:marLeft w:val="0"/>
      <w:marRight w:val="0"/>
      <w:marTop w:val="0"/>
      <w:marBottom w:val="0"/>
      <w:divBdr>
        <w:top w:val="none" w:sz="0" w:space="0" w:color="auto"/>
        <w:left w:val="none" w:sz="0" w:space="0" w:color="auto"/>
        <w:bottom w:val="none" w:sz="0" w:space="0" w:color="auto"/>
        <w:right w:val="none" w:sz="0" w:space="0" w:color="auto"/>
      </w:divBdr>
    </w:div>
    <w:div w:id="169681850">
      <w:bodyDiv w:val="1"/>
      <w:marLeft w:val="0"/>
      <w:marRight w:val="0"/>
      <w:marTop w:val="0"/>
      <w:marBottom w:val="0"/>
      <w:divBdr>
        <w:top w:val="none" w:sz="0" w:space="0" w:color="auto"/>
        <w:left w:val="none" w:sz="0" w:space="0" w:color="auto"/>
        <w:bottom w:val="none" w:sz="0" w:space="0" w:color="auto"/>
        <w:right w:val="none" w:sz="0" w:space="0" w:color="auto"/>
      </w:divBdr>
    </w:div>
    <w:div w:id="724914460">
      <w:bodyDiv w:val="1"/>
      <w:marLeft w:val="0"/>
      <w:marRight w:val="0"/>
      <w:marTop w:val="0"/>
      <w:marBottom w:val="0"/>
      <w:divBdr>
        <w:top w:val="none" w:sz="0" w:space="0" w:color="auto"/>
        <w:left w:val="none" w:sz="0" w:space="0" w:color="auto"/>
        <w:bottom w:val="none" w:sz="0" w:space="0" w:color="auto"/>
        <w:right w:val="none" w:sz="0" w:space="0" w:color="auto"/>
      </w:divBdr>
    </w:div>
    <w:div w:id="921647900">
      <w:bodyDiv w:val="1"/>
      <w:marLeft w:val="0"/>
      <w:marRight w:val="0"/>
      <w:marTop w:val="0"/>
      <w:marBottom w:val="0"/>
      <w:divBdr>
        <w:top w:val="none" w:sz="0" w:space="0" w:color="auto"/>
        <w:left w:val="none" w:sz="0" w:space="0" w:color="auto"/>
        <w:bottom w:val="none" w:sz="0" w:space="0" w:color="auto"/>
        <w:right w:val="none" w:sz="0" w:space="0" w:color="auto"/>
      </w:divBdr>
    </w:div>
    <w:div w:id="1330018333">
      <w:bodyDiv w:val="1"/>
      <w:marLeft w:val="0"/>
      <w:marRight w:val="0"/>
      <w:marTop w:val="0"/>
      <w:marBottom w:val="0"/>
      <w:divBdr>
        <w:top w:val="none" w:sz="0" w:space="0" w:color="auto"/>
        <w:left w:val="none" w:sz="0" w:space="0" w:color="auto"/>
        <w:bottom w:val="none" w:sz="0" w:space="0" w:color="auto"/>
        <w:right w:val="none" w:sz="0" w:space="0" w:color="auto"/>
      </w:divBdr>
    </w:div>
    <w:div w:id="1409156082">
      <w:bodyDiv w:val="1"/>
      <w:marLeft w:val="0"/>
      <w:marRight w:val="0"/>
      <w:marTop w:val="0"/>
      <w:marBottom w:val="0"/>
      <w:divBdr>
        <w:top w:val="none" w:sz="0" w:space="0" w:color="auto"/>
        <w:left w:val="none" w:sz="0" w:space="0" w:color="auto"/>
        <w:bottom w:val="none" w:sz="0" w:space="0" w:color="auto"/>
        <w:right w:val="none" w:sz="0" w:space="0" w:color="auto"/>
      </w:divBdr>
    </w:div>
    <w:div w:id="1531382612">
      <w:bodyDiv w:val="1"/>
      <w:marLeft w:val="0"/>
      <w:marRight w:val="0"/>
      <w:marTop w:val="0"/>
      <w:marBottom w:val="0"/>
      <w:divBdr>
        <w:top w:val="none" w:sz="0" w:space="0" w:color="auto"/>
        <w:left w:val="none" w:sz="0" w:space="0" w:color="auto"/>
        <w:bottom w:val="none" w:sz="0" w:space="0" w:color="auto"/>
        <w:right w:val="none" w:sz="0" w:space="0" w:color="auto"/>
      </w:divBdr>
    </w:div>
    <w:div w:id="2093236717">
      <w:bodyDiv w:val="1"/>
      <w:marLeft w:val="0"/>
      <w:marRight w:val="0"/>
      <w:marTop w:val="0"/>
      <w:marBottom w:val="0"/>
      <w:divBdr>
        <w:top w:val="none" w:sz="0" w:space="0" w:color="auto"/>
        <w:left w:val="none" w:sz="0" w:space="0" w:color="auto"/>
        <w:bottom w:val="none" w:sz="0" w:space="0" w:color="auto"/>
        <w:right w:val="none" w:sz="0" w:space="0" w:color="auto"/>
      </w:divBdr>
    </w:div>
    <w:div w:id="214206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DCDC8F2E4D2EF4980C2587FDF2955A4" ma:contentTypeVersion="18" ma:contentTypeDescription="Utwórz nowy dokument." ma:contentTypeScope="" ma:versionID="975820368207a0769e173fd4fec8cfe9">
  <xsd:schema xmlns:xsd="http://www.w3.org/2001/XMLSchema" xmlns:xs="http://www.w3.org/2001/XMLSchema" xmlns:p="http://schemas.microsoft.com/office/2006/metadata/properties" xmlns:ns2="bc6bf125-8564-4d29-b911-454292c2db6d" xmlns:ns3="ccf0d04e-96bf-41df-805a-648dcbd89041" targetNamespace="http://schemas.microsoft.com/office/2006/metadata/properties" ma:root="true" ma:fieldsID="38948f2d829f75beb1c7e5e3623a0a11" ns2:_="" ns3:_="">
    <xsd:import namespace="bc6bf125-8564-4d29-b911-454292c2db6d"/>
    <xsd:import namespace="ccf0d04e-96bf-41df-805a-648dcbd890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6bf125-8564-4d29-b911-454292c2d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6f950c9d-85a5-41da-9925-d31adf1796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f0d04e-96bf-41df-805a-648dcbd89041" elementFormDefault="qualified">
    <xsd:import namespace="http://schemas.microsoft.com/office/2006/documentManagement/types"/>
    <xsd:import namespace="http://schemas.microsoft.com/office/infopath/2007/PartnerControls"/>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1d30e764-34e2-4bbb-9761-e13b4a974386}" ma:internalName="TaxCatchAll" ma:showField="CatchAllData" ma:web="ccf0d04e-96bf-41df-805a-648dcbd89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6bf125-8564-4d29-b911-454292c2db6d">
      <Terms xmlns="http://schemas.microsoft.com/office/infopath/2007/PartnerControls"/>
    </lcf76f155ced4ddcb4097134ff3c332f>
    <TaxCatchAll xmlns="ccf0d04e-96bf-41df-805a-648dcbd89041" xsi:nil="true"/>
  </documentManagement>
</p:properties>
</file>

<file path=customXml/itemProps1.xml><?xml version="1.0" encoding="utf-8"?>
<ds:datastoreItem xmlns:ds="http://schemas.openxmlformats.org/officeDocument/2006/customXml" ds:itemID="{FF6E7FC7-8E90-4745-915B-9F0044D76334}">
  <ds:schemaRefs>
    <ds:schemaRef ds:uri="http://schemas.microsoft.com/sharepoint/v3/contenttype/forms"/>
  </ds:schemaRefs>
</ds:datastoreItem>
</file>

<file path=customXml/itemProps2.xml><?xml version="1.0" encoding="utf-8"?>
<ds:datastoreItem xmlns:ds="http://schemas.openxmlformats.org/officeDocument/2006/customXml" ds:itemID="{EC903F99-9275-4EC7-AEDF-418D824B3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6bf125-8564-4d29-b911-454292c2db6d"/>
    <ds:schemaRef ds:uri="ccf0d04e-96bf-41df-805a-648dcbd89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8EBC9-B500-4BC5-B962-3F457D60B874}">
  <ds:schemaRefs>
    <ds:schemaRef ds:uri="http://schemas.openxmlformats.org/officeDocument/2006/bibliography"/>
  </ds:schemaRefs>
</ds:datastoreItem>
</file>

<file path=customXml/itemProps4.xml><?xml version="1.0" encoding="utf-8"?>
<ds:datastoreItem xmlns:ds="http://schemas.openxmlformats.org/officeDocument/2006/customXml" ds:itemID="{E0472686-8A52-49EF-B509-16F80CE055E0}">
  <ds:schemaRefs>
    <ds:schemaRef ds:uri="http://schemas.microsoft.com/office/2006/metadata/properties"/>
    <ds:schemaRef ds:uri="http://schemas.microsoft.com/office/infopath/2007/PartnerControls"/>
    <ds:schemaRef ds:uri="bc6bf125-8564-4d29-b911-454292c2db6d"/>
    <ds:schemaRef ds:uri="ccf0d04e-96bf-41df-805a-648dcbd89041"/>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21</Pages>
  <Words>10578</Words>
  <Characters>63471</Characters>
  <Application>Microsoft Office Word</Application>
  <DocSecurity>0</DocSecurity>
  <Lines>528</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Kutsko</dc:creator>
  <cp:keywords/>
  <dc:description/>
  <cp:lastModifiedBy>Tomasz Kubik</cp:lastModifiedBy>
  <cp:revision>145</cp:revision>
  <cp:lastPrinted>2024-04-18T11:35:00Z</cp:lastPrinted>
  <dcterms:created xsi:type="dcterms:W3CDTF">2016-08-24T11:44:00Z</dcterms:created>
  <dcterms:modified xsi:type="dcterms:W3CDTF">2026-07-15T12:51:00Z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0x0101008DCDC8F2E4D2EF4980C2587FDF2955A4</vt:lpwstr>
  </property>
  <property fmtid="{D5CDD505-2E9C-101B-9397-08002B2CF9AE}" pid="3" name="MediaServiceImageTags">
    <vt:lpwstr/>
  </property>
</Properties>
</file>